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3CA" w:rsidRDefault="00D343CA" w:rsidP="00D343CA">
      <w:pPr>
        <w:pStyle w:val="Normal1"/>
        <w:rPr>
          <w:b/>
          <w:sz w:val="28"/>
          <w:szCs w:val="28"/>
          <w:u w:val="single"/>
        </w:rPr>
      </w:pPr>
      <w:r>
        <w:rPr>
          <w:b/>
          <w:sz w:val="28"/>
          <w:szCs w:val="28"/>
          <w:u w:val="single"/>
        </w:rPr>
        <w:t>Deferment of Gratification Scale</w:t>
      </w:r>
    </w:p>
    <w:p w:rsidR="00D343CA" w:rsidRDefault="00D343CA" w:rsidP="00D343CA">
      <w:pPr>
        <w:spacing w:line="240" w:lineRule="auto"/>
        <w:rPr>
          <w:rFonts w:eastAsia="Times New Roman"/>
          <w:color w:val="222222"/>
          <w:sz w:val="20"/>
          <w:szCs w:val="20"/>
          <w:shd w:val="clear" w:color="auto" w:fill="FFFFFF"/>
        </w:rPr>
      </w:pPr>
      <w:r w:rsidRPr="00D343CA">
        <w:rPr>
          <w:rFonts w:eastAsia="Times New Roman"/>
          <w:color w:val="222222"/>
          <w:sz w:val="20"/>
          <w:szCs w:val="20"/>
          <w:shd w:val="clear" w:color="auto" w:fill="FFFFFF"/>
        </w:rPr>
        <w:t xml:space="preserve">Ray, J. J., &amp; </w:t>
      </w:r>
      <w:proofErr w:type="spellStart"/>
      <w:r w:rsidRPr="00D343CA">
        <w:rPr>
          <w:rFonts w:eastAsia="Times New Roman"/>
          <w:color w:val="222222"/>
          <w:sz w:val="20"/>
          <w:szCs w:val="20"/>
          <w:shd w:val="clear" w:color="auto" w:fill="FFFFFF"/>
        </w:rPr>
        <w:t>Najman</w:t>
      </w:r>
      <w:proofErr w:type="spellEnd"/>
      <w:r w:rsidRPr="00D343CA">
        <w:rPr>
          <w:rFonts w:eastAsia="Times New Roman"/>
          <w:color w:val="222222"/>
          <w:sz w:val="20"/>
          <w:szCs w:val="20"/>
          <w:shd w:val="clear" w:color="auto" w:fill="FFFFFF"/>
        </w:rPr>
        <w:t xml:space="preserve">, J. M. (1986). </w:t>
      </w:r>
      <w:proofErr w:type="gramStart"/>
      <w:r w:rsidRPr="00D343CA">
        <w:rPr>
          <w:rFonts w:eastAsia="Times New Roman"/>
          <w:color w:val="222222"/>
          <w:sz w:val="20"/>
          <w:szCs w:val="20"/>
          <w:shd w:val="clear" w:color="auto" w:fill="FFFFFF"/>
        </w:rPr>
        <w:t>The generalizability of deferment of gratification.</w:t>
      </w:r>
      <w:proofErr w:type="gramEnd"/>
      <w:r w:rsidRPr="00D343CA">
        <w:rPr>
          <w:rFonts w:eastAsia="Times New Roman"/>
          <w:color w:val="222222"/>
          <w:sz w:val="20"/>
          <w:szCs w:val="20"/>
          <w:shd w:val="clear" w:color="auto" w:fill="FFFFFF"/>
        </w:rPr>
        <w:t> </w:t>
      </w:r>
      <w:r w:rsidRPr="00D343CA">
        <w:rPr>
          <w:rFonts w:eastAsia="Times New Roman"/>
          <w:i/>
          <w:iCs/>
          <w:color w:val="222222"/>
          <w:sz w:val="20"/>
          <w:szCs w:val="20"/>
        </w:rPr>
        <w:t>The journal of social psychology</w:t>
      </w:r>
      <w:r w:rsidRPr="00D343CA">
        <w:rPr>
          <w:rFonts w:eastAsia="Times New Roman"/>
          <w:color w:val="222222"/>
          <w:sz w:val="20"/>
          <w:szCs w:val="20"/>
          <w:shd w:val="clear" w:color="auto" w:fill="FFFFFF"/>
        </w:rPr>
        <w:t>, </w:t>
      </w:r>
      <w:r w:rsidRPr="00D343CA">
        <w:rPr>
          <w:rFonts w:eastAsia="Times New Roman"/>
          <w:i/>
          <w:iCs/>
          <w:color w:val="222222"/>
          <w:sz w:val="20"/>
          <w:szCs w:val="20"/>
        </w:rPr>
        <w:t>126</w:t>
      </w:r>
      <w:r w:rsidRPr="00D343CA">
        <w:rPr>
          <w:rFonts w:eastAsia="Times New Roman"/>
          <w:color w:val="222222"/>
          <w:sz w:val="20"/>
          <w:szCs w:val="20"/>
          <w:shd w:val="clear" w:color="auto" w:fill="FFFFFF"/>
        </w:rPr>
        <w:t>(1), 117-119.</w:t>
      </w:r>
    </w:p>
    <w:p w:rsidR="00D343CA" w:rsidRPr="00D343CA" w:rsidRDefault="00D343CA" w:rsidP="00D343CA">
      <w:pPr>
        <w:spacing w:line="240" w:lineRule="auto"/>
        <w:rPr>
          <w:rFonts w:ascii="Times" w:eastAsia="Times New Roman" w:hAnsi="Times" w:cs="Times New Roman"/>
          <w:color w:val="auto"/>
          <w:sz w:val="20"/>
          <w:szCs w:val="20"/>
        </w:rPr>
      </w:pPr>
      <w:bookmarkStart w:id="0" w:name="_GoBack"/>
      <w:bookmarkEnd w:id="0"/>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343CA" w:rsidTr="00B86293">
        <w:tc>
          <w:tcPr>
            <w:tcW w:w="9360" w:type="dxa"/>
            <w:tcMar>
              <w:top w:w="100" w:type="dxa"/>
              <w:left w:w="100" w:type="dxa"/>
              <w:bottom w:w="100" w:type="dxa"/>
              <w:right w:w="100" w:type="dxa"/>
            </w:tcMar>
          </w:tcPr>
          <w:p w:rsidR="00D343CA" w:rsidRDefault="00D343CA" w:rsidP="00B86293">
            <w:pPr>
              <w:pStyle w:val="Normal1"/>
              <w:rPr>
                <w:sz w:val="24"/>
                <w:szCs w:val="24"/>
              </w:rPr>
            </w:pPr>
            <w:r>
              <w:rPr>
                <w:sz w:val="24"/>
                <w:szCs w:val="24"/>
              </w:rPr>
              <w:t xml:space="preserve">For the next set of statements, please think about whether you agree or disagree with the statement. For example, if the statement is extremely uncharacteristic of you, you may choose “Strongly Disagree.” On the other hand, if the statement is extremely characteristic of you, you may choose “Strongly Agree.” Use the options in the middle if you fall somewhere in between. Press the “OK” button after you have made your choice. </w:t>
            </w:r>
          </w:p>
          <w:p w:rsidR="00D343CA" w:rsidRDefault="00D343CA" w:rsidP="00B86293">
            <w:pPr>
              <w:pStyle w:val="Normal1"/>
              <w:rPr>
                <w:sz w:val="24"/>
                <w:szCs w:val="24"/>
              </w:rPr>
            </w:pPr>
          </w:p>
          <w:p w:rsidR="00D343CA" w:rsidRDefault="00D343CA" w:rsidP="00B86293">
            <w:pPr>
              <w:pStyle w:val="Normal1"/>
            </w:pPr>
            <w:r>
              <w:rPr>
                <w:sz w:val="24"/>
                <w:szCs w:val="24"/>
              </w:rPr>
              <w:t>Please raise your hand if you have any questions. Otherwise, press the Continue button now.</w:t>
            </w:r>
          </w:p>
        </w:tc>
      </w:tr>
    </w:tbl>
    <w:p w:rsidR="00D343CA" w:rsidRDefault="00D343CA" w:rsidP="00D343CA">
      <w:pPr>
        <w:pStyle w:val="Normal1"/>
      </w:pPr>
    </w:p>
    <w:p w:rsidR="00D343CA" w:rsidRPr="00C00B7D" w:rsidRDefault="00D343CA" w:rsidP="00D343CA">
      <w:pPr>
        <w:pStyle w:val="Normal1"/>
        <w:rPr>
          <w:sz w:val="24"/>
          <w:szCs w:val="24"/>
        </w:rPr>
      </w:pPr>
      <w:r>
        <w:rPr>
          <w:sz w:val="24"/>
          <w:szCs w:val="24"/>
        </w:rPr>
        <w:t>Questions in order of how they will appear on the screen:</w:t>
      </w:r>
    </w:p>
    <w:p w:rsidR="00D343CA" w:rsidRDefault="00D343CA" w:rsidP="00D343CA">
      <w:pPr>
        <w:rPr>
          <w:rFonts w:ascii="Garamound" w:hAnsi="Garamound"/>
        </w:rPr>
      </w:pPr>
      <w:r>
        <w:rPr>
          <w:rFonts w:ascii="Garamound" w:hAnsi="Garamound"/>
        </w:rPr>
        <w:t>7-point scale:</w:t>
      </w:r>
    </w:p>
    <w:p w:rsidR="00D343CA" w:rsidRDefault="00D343CA" w:rsidP="00D343CA">
      <w:pPr>
        <w:rPr>
          <w:rFonts w:ascii="Garamound" w:hAnsi="Garamound"/>
        </w:rPr>
      </w:pPr>
      <w:r>
        <w:rPr>
          <w:rFonts w:ascii="Garamound" w:hAnsi="Garamound"/>
        </w:rPr>
        <w:t xml:space="preserve">(1) Strongly disagree / </w:t>
      </w:r>
      <w:proofErr w:type="spellStart"/>
      <w:r>
        <w:rPr>
          <w:rFonts w:ascii="Garamound" w:hAnsi="Garamound"/>
        </w:rPr>
        <w:t>Sikubaliani</w:t>
      </w:r>
      <w:proofErr w:type="spellEnd"/>
      <w:r>
        <w:rPr>
          <w:rFonts w:ascii="Garamound" w:hAnsi="Garamound"/>
        </w:rPr>
        <w:t xml:space="preserve"> </w:t>
      </w:r>
      <w:proofErr w:type="spellStart"/>
      <w:proofErr w:type="gramStart"/>
      <w:r>
        <w:rPr>
          <w:rFonts w:ascii="Garamound" w:hAnsi="Garamound"/>
        </w:rPr>
        <w:t>sana</w:t>
      </w:r>
      <w:proofErr w:type="spellEnd"/>
      <w:proofErr w:type="gramEnd"/>
    </w:p>
    <w:p w:rsidR="00D343CA" w:rsidRDefault="00D343CA" w:rsidP="00D343CA">
      <w:pPr>
        <w:rPr>
          <w:rFonts w:ascii="Garamound" w:hAnsi="Garamound"/>
        </w:rPr>
      </w:pPr>
      <w:r>
        <w:rPr>
          <w:rFonts w:ascii="Garamound" w:hAnsi="Garamound"/>
        </w:rPr>
        <w:t xml:space="preserve">(2) Disagree / </w:t>
      </w:r>
      <w:proofErr w:type="spellStart"/>
      <w:r>
        <w:rPr>
          <w:rFonts w:ascii="Garamound" w:hAnsi="Garamound"/>
        </w:rPr>
        <w:t>Sikubaliani</w:t>
      </w:r>
      <w:proofErr w:type="spellEnd"/>
    </w:p>
    <w:p w:rsidR="00D343CA" w:rsidRDefault="00D343CA" w:rsidP="00D343CA">
      <w:pPr>
        <w:rPr>
          <w:rFonts w:ascii="Garamound" w:hAnsi="Garamound"/>
        </w:rPr>
      </w:pPr>
      <w:r>
        <w:rPr>
          <w:rFonts w:ascii="Garamound" w:hAnsi="Garamound"/>
        </w:rPr>
        <w:t xml:space="preserve">(3) Somewhat disagree / </w:t>
      </w:r>
      <w:proofErr w:type="spellStart"/>
      <w:r>
        <w:rPr>
          <w:rFonts w:ascii="Garamound" w:hAnsi="Garamound"/>
        </w:rPr>
        <w:t>Kiasi</w:t>
      </w:r>
      <w:proofErr w:type="spellEnd"/>
      <w:r>
        <w:rPr>
          <w:rFonts w:ascii="Garamound" w:hAnsi="Garamound"/>
        </w:rPr>
        <w:t xml:space="preserve"> </w:t>
      </w:r>
      <w:proofErr w:type="spellStart"/>
      <w:proofErr w:type="gramStart"/>
      <w:r>
        <w:rPr>
          <w:rFonts w:ascii="Garamound" w:hAnsi="Garamound" w:hint="eastAsia"/>
        </w:rPr>
        <w:t>fulani</w:t>
      </w:r>
      <w:proofErr w:type="spellEnd"/>
      <w:proofErr w:type="gramEnd"/>
      <w:r>
        <w:rPr>
          <w:rFonts w:ascii="Garamound" w:hAnsi="Garamound" w:hint="eastAsia"/>
        </w:rPr>
        <w:t xml:space="preserve"> </w:t>
      </w:r>
      <w:proofErr w:type="spellStart"/>
      <w:r>
        <w:rPr>
          <w:rFonts w:ascii="Garamound" w:hAnsi="Garamound"/>
        </w:rPr>
        <w:t>sikubaliani</w:t>
      </w:r>
      <w:proofErr w:type="spellEnd"/>
    </w:p>
    <w:p w:rsidR="00D343CA" w:rsidRDefault="00D343CA" w:rsidP="00D343CA">
      <w:pPr>
        <w:rPr>
          <w:rFonts w:ascii="Garamound" w:hAnsi="Garamound"/>
        </w:rPr>
      </w:pPr>
      <w:r>
        <w:rPr>
          <w:rFonts w:ascii="Garamound" w:hAnsi="Garamound"/>
        </w:rPr>
        <w:t xml:space="preserve">(4) Somewhat agree / </w:t>
      </w:r>
      <w:proofErr w:type="spellStart"/>
      <w:r>
        <w:rPr>
          <w:rFonts w:ascii="Garamound" w:hAnsi="Garamound"/>
        </w:rPr>
        <w:t>Kiasi</w:t>
      </w:r>
      <w:proofErr w:type="spellEnd"/>
      <w:r>
        <w:rPr>
          <w:rFonts w:ascii="Garamound" w:hAnsi="Garamound"/>
        </w:rPr>
        <w:t xml:space="preserve"> </w:t>
      </w:r>
      <w:proofErr w:type="spellStart"/>
      <w:proofErr w:type="gramStart"/>
      <w:r>
        <w:rPr>
          <w:rFonts w:ascii="Garamound" w:hAnsi="Garamound"/>
        </w:rPr>
        <w:t>fulani</w:t>
      </w:r>
      <w:proofErr w:type="spellEnd"/>
      <w:proofErr w:type="gramEnd"/>
      <w:r>
        <w:rPr>
          <w:rFonts w:ascii="Garamound" w:hAnsi="Garamound"/>
        </w:rPr>
        <w:t xml:space="preserve"> </w:t>
      </w:r>
      <w:proofErr w:type="spellStart"/>
      <w:r>
        <w:rPr>
          <w:rFonts w:ascii="Garamound" w:hAnsi="Garamound"/>
        </w:rPr>
        <w:t>nakubaliana</w:t>
      </w:r>
      <w:proofErr w:type="spellEnd"/>
    </w:p>
    <w:p w:rsidR="00D343CA" w:rsidRDefault="00D343CA" w:rsidP="00D343CA">
      <w:pPr>
        <w:rPr>
          <w:rFonts w:ascii="Garamound" w:hAnsi="Garamound"/>
        </w:rPr>
      </w:pPr>
      <w:r>
        <w:rPr>
          <w:rFonts w:ascii="Garamound" w:hAnsi="Garamound"/>
        </w:rPr>
        <w:t xml:space="preserve">(5) Agree / </w:t>
      </w:r>
      <w:proofErr w:type="spellStart"/>
      <w:r>
        <w:rPr>
          <w:rFonts w:ascii="Garamound" w:hAnsi="Garamound"/>
        </w:rPr>
        <w:t>Nakubaliana</w:t>
      </w:r>
      <w:proofErr w:type="spellEnd"/>
    </w:p>
    <w:p w:rsidR="00D343CA" w:rsidRDefault="00D343CA" w:rsidP="00D343CA">
      <w:pPr>
        <w:rPr>
          <w:rFonts w:ascii="Garamound" w:hAnsi="Garamound"/>
        </w:rPr>
      </w:pPr>
      <w:r>
        <w:rPr>
          <w:rFonts w:ascii="Garamound" w:hAnsi="Garamound"/>
        </w:rPr>
        <w:t xml:space="preserve">(6) Strongly agree / </w:t>
      </w:r>
      <w:proofErr w:type="spellStart"/>
      <w:r>
        <w:rPr>
          <w:rFonts w:ascii="Garamound" w:hAnsi="Garamound"/>
        </w:rPr>
        <w:t>Nakubaliana</w:t>
      </w:r>
      <w:proofErr w:type="spellEnd"/>
      <w:r>
        <w:rPr>
          <w:rFonts w:ascii="Garamound" w:hAnsi="Garamound"/>
        </w:rPr>
        <w:t xml:space="preserve"> </w:t>
      </w:r>
      <w:proofErr w:type="spellStart"/>
      <w:proofErr w:type="gramStart"/>
      <w:r>
        <w:rPr>
          <w:rFonts w:ascii="Garamound" w:hAnsi="Garamound"/>
        </w:rPr>
        <w:t>sana</w:t>
      </w:r>
      <w:proofErr w:type="spellEnd"/>
      <w:proofErr w:type="gramEnd"/>
    </w:p>
    <w:p w:rsidR="00D343CA" w:rsidRDefault="00D343CA" w:rsidP="00D343CA">
      <w:pPr>
        <w:rPr>
          <w:rFonts w:ascii="Garamound" w:hAnsi="Garamound"/>
        </w:rPr>
      </w:pPr>
      <w:r>
        <w:rPr>
          <w:rFonts w:ascii="Garamound" w:hAnsi="Garamound"/>
        </w:rPr>
        <w:t xml:space="preserve">(7) </w:t>
      </w:r>
      <w:r w:rsidRPr="000F3023">
        <w:rPr>
          <w:rFonts w:ascii="Garamound" w:hAnsi="Garamound"/>
        </w:rPr>
        <w:t>Neither agree nor disagree /</w:t>
      </w:r>
      <w:r>
        <w:rPr>
          <w:rFonts w:ascii="Garamound" w:hAnsi="Garamound"/>
        </w:rPr>
        <w:t xml:space="preserve"> </w:t>
      </w:r>
      <w:proofErr w:type="spellStart"/>
      <w:r>
        <w:rPr>
          <w:rFonts w:ascii="Garamound" w:hAnsi="Garamound"/>
        </w:rPr>
        <w:t>kati</w:t>
      </w:r>
      <w:proofErr w:type="spellEnd"/>
      <w:r>
        <w:rPr>
          <w:rFonts w:ascii="Garamound" w:hAnsi="Garamound"/>
        </w:rPr>
        <w:t xml:space="preserve"> </w:t>
      </w:r>
      <w:proofErr w:type="spellStart"/>
      <w:r>
        <w:rPr>
          <w:rFonts w:ascii="Garamound" w:hAnsi="Garamound"/>
        </w:rPr>
        <w:t>kati</w:t>
      </w:r>
      <w:proofErr w:type="spellEnd"/>
    </w:p>
    <w:p w:rsidR="00D343CA" w:rsidRDefault="00D343CA" w:rsidP="00D343CA">
      <w:pPr>
        <w:rPr>
          <w:rFonts w:ascii="Garamound" w:hAnsi="Garamound"/>
        </w:rPr>
      </w:pPr>
    </w:p>
    <w:p w:rsidR="00D343CA" w:rsidRDefault="00D343CA" w:rsidP="00D343CA">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1. </w:t>
            </w:r>
            <w:r>
              <w:rPr>
                <w:rFonts w:ascii="Calibri" w:eastAsia="Times New Roman" w:hAnsi="Calibri" w:cs="Times New Roman"/>
              </w:rPr>
              <w:t>I am good in saving my money instead of spending it at once.</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r>
              <w:rPr>
                <w:rFonts w:ascii="Calibri" w:eastAsia="Times New Roman" w:hAnsi="Calibri" w:cs="Times New Roman"/>
              </w:rPr>
              <w:t xml:space="preserve">Mimi </w:t>
            </w:r>
            <w:proofErr w:type="spellStart"/>
            <w:r>
              <w:rPr>
                <w:rFonts w:ascii="Calibri" w:eastAsia="Times New Roman" w:hAnsi="Calibri" w:cs="Times New Roman"/>
              </w:rPr>
              <w:t>ni</w:t>
            </w:r>
            <w:proofErr w:type="spellEnd"/>
            <w:r>
              <w:rPr>
                <w:rFonts w:ascii="Calibri" w:eastAsia="Times New Roman" w:hAnsi="Calibri" w:cs="Times New Roman"/>
              </w:rPr>
              <w:t xml:space="preserve"> </w:t>
            </w:r>
            <w:proofErr w:type="spellStart"/>
            <w:r>
              <w:rPr>
                <w:rFonts w:ascii="Calibri" w:eastAsia="Times New Roman" w:hAnsi="Calibri" w:cs="Times New Roman"/>
              </w:rPr>
              <w:t>mzuri</w:t>
            </w:r>
            <w:proofErr w:type="spellEnd"/>
            <w:r>
              <w:rPr>
                <w:rFonts w:ascii="Calibri" w:eastAsia="Times New Roman" w:hAnsi="Calibri" w:cs="Times New Roman"/>
              </w:rPr>
              <w:t xml:space="preserve"> </w:t>
            </w:r>
            <w:proofErr w:type="spellStart"/>
            <w:r>
              <w:rPr>
                <w:rFonts w:ascii="Calibri" w:eastAsia="Times New Roman" w:hAnsi="Calibri" w:cs="Times New Roman"/>
              </w:rPr>
              <w:t>kwa</w:t>
            </w:r>
            <w:proofErr w:type="spellEnd"/>
            <w:r>
              <w:rPr>
                <w:rFonts w:ascii="Calibri" w:eastAsia="Times New Roman" w:hAnsi="Calibri" w:cs="Times New Roman"/>
              </w:rPr>
              <w:t xml:space="preserve"> </w:t>
            </w:r>
            <w:proofErr w:type="spellStart"/>
            <w:r>
              <w:rPr>
                <w:rFonts w:ascii="Calibri" w:eastAsia="Times New Roman" w:hAnsi="Calibri" w:cs="Times New Roman"/>
              </w:rPr>
              <w:t>kuweka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akiba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za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pesa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za</w:t>
            </w:r>
            <w:r>
              <w:rPr>
                <w:rFonts w:ascii="Calibri" w:eastAsia="Times New Roman" w:hAnsi="Calibri" w:cs="Times New Roman"/>
              </w:rPr>
              <w:t>ngu</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badala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ya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kuzitumia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mara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moja</w:t>
            </w:r>
            <w:proofErr w:type="spellEnd"/>
          </w:p>
        </w:tc>
      </w:tr>
      <w:tr w:rsidR="00D343CA" w:rsidRPr="00F35DA3" w:rsidTr="00B86293">
        <w:trPr>
          <w:trHeight w:val="280"/>
        </w:trPr>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r>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2. </w:t>
            </w:r>
            <w:r>
              <w:rPr>
                <w:rFonts w:ascii="Calibri" w:eastAsia="Times New Roman" w:hAnsi="Calibri" w:cs="Times New Roman"/>
              </w:rPr>
              <w:t>I enjoy something more when I have to wait for it and plan for it.</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r>
              <w:rPr>
                <w:rFonts w:ascii="Calibri" w:eastAsia="Times New Roman" w:hAnsi="Calibri" w:cs="Times New Roman"/>
              </w:rPr>
              <w:t>Mimi</w:t>
            </w:r>
            <w:r w:rsidRPr="00F35DA3">
              <w:rPr>
                <w:rFonts w:ascii="Calibri" w:eastAsia="Times New Roman" w:hAnsi="Calibri" w:cs="Times New Roman"/>
              </w:rPr>
              <w:t xml:space="preserve"> </w:t>
            </w:r>
            <w:proofErr w:type="spellStart"/>
            <w:r w:rsidRPr="00F35DA3">
              <w:rPr>
                <w:rFonts w:ascii="Calibri" w:eastAsia="Times New Roman" w:hAnsi="Calibri" w:cs="Times New Roman"/>
              </w:rPr>
              <w:t>hufurahia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kitu</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zaidi</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sababu</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ili</w:t>
            </w:r>
            <w:r>
              <w:rPr>
                <w:rFonts w:ascii="Calibri" w:eastAsia="Times New Roman" w:hAnsi="Calibri" w:cs="Times New Roman"/>
              </w:rPr>
              <w:t>nibidi</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kuingoja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na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kuipangia</w:t>
            </w:r>
            <w:proofErr w:type="spellEnd"/>
          </w:p>
        </w:tc>
      </w:tr>
      <w:tr w:rsidR="00D343CA" w:rsidRPr="00F35DA3" w:rsidTr="00B86293">
        <w:trPr>
          <w:trHeight w:val="280"/>
        </w:trPr>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r>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3. </w:t>
            </w:r>
            <w:r>
              <w:rPr>
                <w:rFonts w:ascii="Calibri" w:eastAsia="Times New Roman" w:hAnsi="Calibri" w:cs="Times New Roman"/>
              </w:rPr>
              <w:t>When I was a child, I saved any pocket money that I had.</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proofErr w:type="spellStart"/>
            <w:r>
              <w:rPr>
                <w:rFonts w:ascii="Calibri" w:eastAsia="Times New Roman" w:hAnsi="Calibri" w:cs="Times New Roman"/>
              </w:rPr>
              <w:t>Nilipokuwa</w:t>
            </w:r>
            <w:proofErr w:type="spellEnd"/>
            <w:r>
              <w:rPr>
                <w:rFonts w:ascii="Calibri" w:eastAsia="Times New Roman" w:hAnsi="Calibri" w:cs="Times New Roman"/>
              </w:rPr>
              <w:t xml:space="preserve"> motto, </w:t>
            </w:r>
            <w:proofErr w:type="spellStart"/>
            <w:r>
              <w:rPr>
                <w:rFonts w:ascii="Calibri" w:eastAsia="Times New Roman" w:hAnsi="Calibri" w:cs="Times New Roman"/>
              </w:rPr>
              <w:t>nili</w:t>
            </w:r>
            <w:r w:rsidRPr="00F35DA3">
              <w:rPr>
                <w:rFonts w:ascii="Calibri" w:eastAsia="Times New Roman" w:hAnsi="Calibri" w:cs="Times New Roman"/>
              </w:rPr>
              <w:t>weka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akiba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ya</w:t>
            </w:r>
            <w:proofErr w:type="spellEnd"/>
            <w:r w:rsidRPr="00F35DA3">
              <w:rPr>
                <w:rFonts w:ascii="Calibri" w:eastAsia="Times New Roman" w:hAnsi="Calibri" w:cs="Times New Roman"/>
              </w:rPr>
              <w:t xml:space="preserve"> pocket money </w:t>
            </w:r>
            <w:proofErr w:type="spellStart"/>
            <w:r w:rsidRPr="00F35DA3">
              <w:rPr>
                <w:rFonts w:ascii="Calibri" w:eastAsia="Times New Roman" w:hAnsi="Calibri" w:cs="Times New Roman"/>
              </w:rPr>
              <w:t>ya</w:t>
            </w:r>
            <w:r>
              <w:rPr>
                <w:rFonts w:ascii="Calibri" w:eastAsia="Times New Roman" w:hAnsi="Calibri" w:cs="Times New Roman"/>
              </w:rPr>
              <w:t>ngu</w:t>
            </w:r>
            <w:proofErr w:type="spellEnd"/>
          </w:p>
        </w:tc>
      </w:tr>
      <w:tr w:rsidR="00D343CA" w:rsidRPr="00F35DA3" w:rsidTr="00B86293">
        <w:trPr>
          <w:trHeight w:val="280"/>
        </w:trPr>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r>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4. </w:t>
            </w:r>
            <w:r>
              <w:rPr>
                <w:rFonts w:ascii="Calibri" w:eastAsia="Times New Roman" w:hAnsi="Calibri" w:cs="Times New Roman"/>
              </w:rPr>
              <w:t>When I am in the supermarket, I usually buy a lot of things that I had not planned to buy.</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proofErr w:type="spellStart"/>
            <w:r>
              <w:rPr>
                <w:rFonts w:ascii="Calibri" w:eastAsia="Times New Roman" w:hAnsi="Calibri" w:cs="Times New Roman"/>
              </w:rPr>
              <w:t>Ni</w:t>
            </w:r>
            <w:r w:rsidRPr="00F35DA3">
              <w:rPr>
                <w:rFonts w:ascii="Calibri" w:eastAsia="Times New Roman" w:hAnsi="Calibri" w:cs="Times New Roman"/>
              </w:rPr>
              <w:t>kiwa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kwenye</w:t>
            </w:r>
            <w:proofErr w:type="spellEnd"/>
            <w:r w:rsidRPr="00F35DA3">
              <w:rPr>
                <w:rFonts w:ascii="Calibri" w:eastAsia="Times New Roman" w:hAnsi="Calibri" w:cs="Times New Roman"/>
              </w:rPr>
              <w:t xml:space="preserve"> supermarket, </w:t>
            </w:r>
            <w:proofErr w:type="spellStart"/>
            <w:r>
              <w:rPr>
                <w:rFonts w:ascii="Calibri" w:eastAsia="Times New Roman" w:hAnsi="Calibri" w:cs="Times New Roman"/>
              </w:rPr>
              <w:t>mimi</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huwa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nanunua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vitu</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vingi</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ambavyo</w:t>
            </w:r>
            <w:proofErr w:type="spellEnd"/>
            <w:r w:rsidRPr="00F35DA3">
              <w:rPr>
                <w:rFonts w:ascii="Calibri" w:eastAsia="Times New Roman" w:hAnsi="Calibri" w:cs="Times New Roman"/>
              </w:rPr>
              <w:t xml:space="preserve"> </w:t>
            </w:r>
            <w:proofErr w:type="spellStart"/>
            <w:r>
              <w:rPr>
                <w:rFonts w:ascii="Calibri" w:eastAsia="Times New Roman" w:hAnsi="Calibri" w:cs="Times New Roman"/>
              </w:rPr>
              <w:t>na</w:t>
            </w:r>
            <w:r w:rsidRPr="00F35DA3">
              <w:rPr>
                <w:rFonts w:ascii="Calibri" w:eastAsia="Times New Roman" w:hAnsi="Calibri" w:cs="Times New Roman"/>
              </w:rPr>
              <w:t>kuwa</w:t>
            </w:r>
            <w:proofErr w:type="spellEnd"/>
            <w:r w:rsidRPr="00F35DA3">
              <w:rPr>
                <w:rFonts w:ascii="Calibri" w:eastAsia="Times New Roman" w:hAnsi="Calibri" w:cs="Times New Roman"/>
              </w:rPr>
              <w:t xml:space="preserve"> </w:t>
            </w:r>
            <w:proofErr w:type="spellStart"/>
            <w:r>
              <w:rPr>
                <w:rFonts w:ascii="Calibri" w:eastAsia="Times New Roman" w:hAnsi="Calibri" w:cs="Times New Roman"/>
              </w:rPr>
              <w:t>ni</w:t>
            </w:r>
            <w:r w:rsidRPr="00F35DA3">
              <w:rPr>
                <w:rFonts w:ascii="Calibri" w:eastAsia="Times New Roman" w:hAnsi="Calibri" w:cs="Times New Roman"/>
              </w:rPr>
              <w:t>mepanga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kununua</w:t>
            </w:r>
            <w:proofErr w:type="spellEnd"/>
          </w:p>
        </w:tc>
      </w:tr>
      <w:tr w:rsidR="00D343CA" w:rsidRPr="00F35DA3" w:rsidTr="00B86293">
        <w:trPr>
          <w:trHeight w:val="280"/>
        </w:trPr>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r>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5. </w:t>
            </w:r>
            <w:r>
              <w:rPr>
                <w:rFonts w:ascii="Calibri" w:eastAsia="Times New Roman" w:hAnsi="Calibri" w:cs="Times New Roman"/>
              </w:rPr>
              <w:t>I am constantly without money.</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r>
              <w:rPr>
                <w:rFonts w:ascii="Calibri" w:eastAsia="Times New Roman" w:hAnsi="Calibri" w:cs="Times New Roman"/>
              </w:rPr>
              <w:t>Mimi</w:t>
            </w:r>
            <w:r w:rsidRPr="00F35DA3">
              <w:rPr>
                <w:rFonts w:ascii="Calibri" w:eastAsia="Times New Roman" w:hAnsi="Calibri" w:cs="Times New Roman"/>
              </w:rPr>
              <w:t xml:space="preserve"> </w:t>
            </w:r>
            <w:proofErr w:type="spellStart"/>
            <w:r w:rsidRPr="00F35DA3">
              <w:rPr>
                <w:rFonts w:ascii="Calibri" w:eastAsia="Times New Roman" w:hAnsi="Calibri" w:cs="Times New Roman"/>
              </w:rPr>
              <w:t>huwa</w:t>
            </w:r>
            <w:proofErr w:type="spellEnd"/>
            <w:r w:rsidRPr="00F35DA3">
              <w:rPr>
                <w:rFonts w:ascii="Calibri" w:eastAsia="Times New Roman" w:hAnsi="Calibri" w:cs="Times New Roman"/>
              </w:rPr>
              <w:t xml:space="preserve"> </w:t>
            </w:r>
            <w:proofErr w:type="spellStart"/>
            <w:r>
              <w:rPr>
                <w:rFonts w:ascii="Calibri" w:eastAsia="Times New Roman" w:hAnsi="Calibri" w:cs="Times New Roman"/>
              </w:rPr>
              <w:t>ni</w:t>
            </w:r>
            <w:r w:rsidRPr="00F35DA3">
              <w:rPr>
                <w:rFonts w:ascii="Calibri" w:eastAsia="Times New Roman" w:hAnsi="Calibri" w:cs="Times New Roman"/>
              </w:rPr>
              <w:t>mekosa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pesa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kila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wakati</w:t>
            </w:r>
            <w:proofErr w:type="spellEnd"/>
          </w:p>
        </w:tc>
      </w:tr>
      <w:tr w:rsidR="00D343CA" w:rsidRPr="00F35DA3" w:rsidTr="00B86293">
        <w:trPr>
          <w:trHeight w:val="280"/>
        </w:trPr>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F35DA3" w:rsidRDefault="00D343CA" w:rsidP="00B86293">
            <w:pPr>
              <w:rPr>
                <w:rFonts w:ascii="Calibri" w:eastAsia="Times New Roman" w:hAnsi="Calibri" w:cs="Times New Roman"/>
              </w:rPr>
            </w:pPr>
          </w:p>
        </w:tc>
      </w:tr>
      <w:tr w:rsidR="00D343CA" w:rsidRPr="00F35DA3" w:rsidTr="00B86293">
        <w:trPr>
          <w:trHeight w:val="280"/>
        </w:trPr>
        <w:tc>
          <w:tcPr>
            <w:tcW w:w="9320" w:type="dxa"/>
            <w:gridSpan w:val="10"/>
            <w:tcBorders>
              <w:top w:val="nil"/>
              <w:left w:val="nil"/>
              <w:bottom w:val="nil"/>
              <w:right w:val="nil"/>
            </w:tcBorders>
            <w:shd w:val="clear" w:color="C5E0B3" w:fill="C5E0B3"/>
            <w:noWrap/>
            <w:hideMark/>
          </w:tcPr>
          <w:p w:rsidR="00D343CA" w:rsidRPr="00F35DA3" w:rsidRDefault="00D343CA" w:rsidP="00B86293">
            <w:pPr>
              <w:rPr>
                <w:rFonts w:ascii="Calibri" w:eastAsia="Times New Roman" w:hAnsi="Calibri" w:cs="Times New Roman"/>
              </w:rPr>
            </w:pPr>
            <w:r w:rsidRPr="00F35DA3">
              <w:rPr>
                <w:rFonts w:ascii="Calibri" w:eastAsia="Times New Roman" w:hAnsi="Calibri" w:cs="Times New Roman"/>
              </w:rPr>
              <w:t xml:space="preserve">6. </w:t>
            </w:r>
            <w:r>
              <w:rPr>
                <w:rFonts w:ascii="Calibri" w:eastAsia="Times New Roman" w:hAnsi="Calibri" w:cs="Times New Roman"/>
              </w:rPr>
              <w:t>I</w:t>
            </w:r>
            <w:r w:rsidRPr="00F35DA3">
              <w:rPr>
                <w:rFonts w:ascii="Calibri" w:eastAsia="Times New Roman" w:hAnsi="Calibri" w:cs="Times New Roman"/>
              </w:rPr>
              <w:t xml:space="preserve"> agree with the philosophy: "Eat, drink, and be happy, for tomorrow we may all be dead"</w:t>
            </w:r>
            <w:r>
              <w:rPr>
                <w:rFonts w:ascii="Calibri" w:eastAsia="Times New Roman" w:hAnsi="Calibri" w:cs="Times New Roman"/>
              </w:rPr>
              <w:t>.</w:t>
            </w:r>
          </w:p>
        </w:tc>
      </w:tr>
      <w:tr w:rsidR="00D343CA" w:rsidRPr="00F35DA3" w:rsidTr="00B86293">
        <w:trPr>
          <w:trHeight w:val="280"/>
        </w:trPr>
        <w:tc>
          <w:tcPr>
            <w:tcW w:w="9320" w:type="dxa"/>
            <w:gridSpan w:val="10"/>
            <w:tcBorders>
              <w:top w:val="nil"/>
              <w:left w:val="nil"/>
              <w:bottom w:val="nil"/>
              <w:right w:val="nil"/>
            </w:tcBorders>
            <w:shd w:val="clear" w:color="000000" w:fill="E6B8B7"/>
            <w:noWrap/>
            <w:hideMark/>
          </w:tcPr>
          <w:p w:rsidR="00D343CA" w:rsidRPr="00F35DA3" w:rsidRDefault="00D343CA" w:rsidP="00B86293">
            <w:pPr>
              <w:rPr>
                <w:rFonts w:ascii="Calibri" w:eastAsia="Times New Roman" w:hAnsi="Calibri" w:cs="Times New Roman"/>
              </w:rPr>
            </w:pPr>
            <w:proofErr w:type="spellStart"/>
            <w:r>
              <w:rPr>
                <w:rFonts w:ascii="Calibri" w:eastAsia="Times New Roman" w:hAnsi="Calibri" w:cs="Times New Roman"/>
              </w:rPr>
              <w:t>Ni</w:t>
            </w:r>
            <w:r w:rsidRPr="00F35DA3">
              <w:rPr>
                <w:rFonts w:ascii="Calibri" w:eastAsia="Times New Roman" w:hAnsi="Calibri" w:cs="Times New Roman"/>
              </w:rPr>
              <w:t>nakubaliana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na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filosofia</w:t>
            </w:r>
            <w:proofErr w:type="spellEnd"/>
            <w:r w:rsidRPr="00F35DA3">
              <w:rPr>
                <w:rFonts w:ascii="Calibri" w:eastAsia="Times New Roman" w:hAnsi="Calibri" w:cs="Times New Roman"/>
              </w:rPr>
              <w:t xml:space="preserve">, " </w:t>
            </w:r>
            <w:proofErr w:type="spellStart"/>
            <w:r w:rsidRPr="00F35DA3">
              <w:rPr>
                <w:rFonts w:ascii="Calibri" w:eastAsia="Times New Roman" w:hAnsi="Calibri" w:cs="Times New Roman"/>
              </w:rPr>
              <w:t>kula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kunywa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na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furahia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kwani</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kesho</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sote</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tunaweza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kuwa</w:t>
            </w:r>
            <w:proofErr w:type="spellEnd"/>
            <w:r w:rsidRPr="00F35DA3">
              <w:rPr>
                <w:rFonts w:ascii="Calibri" w:eastAsia="Times New Roman" w:hAnsi="Calibri" w:cs="Times New Roman"/>
              </w:rPr>
              <w:t xml:space="preserve"> </w:t>
            </w:r>
            <w:proofErr w:type="spellStart"/>
            <w:r w:rsidRPr="00F35DA3">
              <w:rPr>
                <w:rFonts w:ascii="Calibri" w:eastAsia="Times New Roman" w:hAnsi="Calibri" w:cs="Times New Roman"/>
              </w:rPr>
              <w:t>wafu</w:t>
            </w:r>
            <w:proofErr w:type="spellEnd"/>
            <w:r w:rsidRPr="00F35DA3">
              <w:rPr>
                <w:rFonts w:ascii="Calibri" w:eastAsia="Times New Roman" w:hAnsi="Calibri" w:cs="Times New Roman"/>
              </w:rPr>
              <w:t>"</w:t>
            </w:r>
          </w:p>
        </w:tc>
      </w:tr>
    </w:tbl>
    <w:p w:rsidR="00D343CA" w:rsidRPr="001C78F5" w:rsidRDefault="00D343CA" w:rsidP="00D343CA">
      <w:pPr>
        <w:rPr>
          <w:rFonts w:ascii="Garamound" w:hAnsi="Garamound"/>
        </w:rPr>
      </w:pPr>
    </w:p>
    <w:tbl>
      <w:tblPr>
        <w:tblW w:w="9320" w:type="dxa"/>
        <w:tblInd w:w="93" w:type="dxa"/>
        <w:tblLook w:val="04A0" w:firstRow="1" w:lastRow="0" w:firstColumn="1" w:lastColumn="0" w:noHBand="0" w:noVBand="1"/>
      </w:tblPr>
      <w:tblGrid>
        <w:gridCol w:w="932"/>
        <w:gridCol w:w="932"/>
        <w:gridCol w:w="932"/>
        <w:gridCol w:w="932"/>
        <w:gridCol w:w="932"/>
        <w:gridCol w:w="932"/>
        <w:gridCol w:w="932"/>
        <w:gridCol w:w="932"/>
        <w:gridCol w:w="932"/>
        <w:gridCol w:w="932"/>
      </w:tblGrid>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7. </w:t>
            </w:r>
            <w:r>
              <w:rPr>
                <w:rFonts w:ascii="Calibri" w:eastAsia="Times New Roman" w:hAnsi="Calibri" w:cs="Times New Roman"/>
              </w:rPr>
              <w:t>I would describe myself as often acting without thinking for my own good.</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proofErr w:type="spellStart"/>
            <w:r>
              <w:rPr>
                <w:rFonts w:ascii="Calibri" w:eastAsia="Times New Roman" w:hAnsi="Calibri" w:cs="Times New Roman"/>
              </w:rPr>
              <w:t>Ninge</w:t>
            </w:r>
            <w:r w:rsidRPr="006F1B87">
              <w:rPr>
                <w:rFonts w:ascii="Calibri" w:eastAsia="Times New Roman" w:hAnsi="Calibri" w:cs="Times New Roman"/>
              </w:rPr>
              <w:t>weza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kujieleza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kama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mara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nyingi</w:t>
            </w:r>
            <w:proofErr w:type="spellEnd"/>
            <w:r w:rsidRPr="006F1B87">
              <w:rPr>
                <w:rFonts w:ascii="Calibri" w:eastAsia="Times New Roman" w:hAnsi="Calibri" w:cs="Times New Roman"/>
              </w:rPr>
              <w:t xml:space="preserve"> </w:t>
            </w:r>
            <w:proofErr w:type="spellStart"/>
            <w:r>
              <w:rPr>
                <w:rFonts w:ascii="Calibri" w:eastAsia="Times New Roman" w:hAnsi="Calibri" w:cs="Times New Roman"/>
              </w:rPr>
              <w:t>na</w:t>
            </w:r>
            <w:r w:rsidRPr="006F1B87">
              <w:rPr>
                <w:rFonts w:ascii="Calibri" w:eastAsia="Times New Roman" w:hAnsi="Calibri" w:cs="Times New Roman"/>
              </w:rPr>
              <w:t>fanya</w:t>
            </w:r>
            <w:proofErr w:type="spellEnd"/>
            <w:r w:rsidRPr="006F1B87">
              <w:rPr>
                <w:rFonts w:ascii="Calibri" w:eastAsia="Times New Roman" w:hAnsi="Calibri" w:cs="Times New Roman"/>
              </w:rPr>
              <w:t xml:space="preserve"> mambo </w:t>
            </w:r>
            <w:proofErr w:type="spellStart"/>
            <w:r w:rsidRPr="006F1B87">
              <w:rPr>
                <w:rFonts w:ascii="Calibri" w:eastAsia="Times New Roman" w:hAnsi="Calibri" w:cs="Times New Roman"/>
              </w:rPr>
              <w:t>bila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kufikiria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kwa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faida</w:t>
            </w:r>
            <w:proofErr w:type="spellEnd"/>
            <w:r w:rsidRPr="006F1B87">
              <w:rPr>
                <w:rFonts w:ascii="Calibri" w:eastAsia="Times New Roman" w:hAnsi="Calibri" w:cs="Times New Roman"/>
              </w:rPr>
              <w:t xml:space="preserve"> </w:t>
            </w:r>
            <w:proofErr w:type="spellStart"/>
            <w:r>
              <w:rPr>
                <w:rFonts w:ascii="Calibri" w:eastAsia="Times New Roman" w:hAnsi="Calibri" w:cs="Times New Roman"/>
              </w:rPr>
              <w:t>yangu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mwenyewe</w:t>
            </w:r>
            <w:proofErr w:type="spellEnd"/>
          </w:p>
        </w:tc>
      </w:tr>
      <w:tr w:rsidR="00D343CA" w:rsidRPr="006F1B87" w:rsidTr="00B86293">
        <w:trPr>
          <w:trHeight w:val="280"/>
        </w:trPr>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r>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8. </w:t>
            </w:r>
            <w:r>
              <w:rPr>
                <w:rFonts w:ascii="Calibri" w:eastAsia="Times New Roman" w:hAnsi="Calibri" w:cs="Times New Roman"/>
              </w:rPr>
              <w:t>I often think it is</w:t>
            </w:r>
            <w:r w:rsidRPr="006F1B87">
              <w:rPr>
                <w:rFonts w:ascii="Calibri" w:eastAsia="Times New Roman" w:hAnsi="Calibri" w:cs="Times New Roman"/>
              </w:rPr>
              <w:t xml:space="preserve"> important to wait and think things over before deciding</w:t>
            </w:r>
            <w:r>
              <w:rPr>
                <w:rFonts w:ascii="Calibri" w:eastAsia="Times New Roman" w:hAnsi="Calibri" w:cs="Times New Roman"/>
              </w:rPr>
              <w:t>.</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r>
              <w:rPr>
                <w:rFonts w:ascii="Calibri" w:eastAsia="Times New Roman" w:hAnsi="Calibri" w:cs="Times New Roman"/>
              </w:rPr>
              <w:t xml:space="preserve">Mimi </w:t>
            </w:r>
            <w:proofErr w:type="spellStart"/>
            <w:r>
              <w:rPr>
                <w:rFonts w:ascii="Calibri" w:eastAsia="Times New Roman" w:hAnsi="Calibri" w:cs="Times New Roman"/>
              </w:rPr>
              <w:t>hufikiria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ni</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muhimu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kungoja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na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kufikiria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juu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ya</w:t>
            </w:r>
            <w:proofErr w:type="spellEnd"/>
            <w:r w:rsidRPr="006F1B87">
              <w:rPr>
                <w:rFonts w:ascii="Calibri" w:eastAsia="Times New Roman" w:hAnsi="Calibri" w:cs="Times New Roman"/>
              </w:rPr>
              <w:t xml:space="preserve"> mambo </w:t>
            </w:r>
            <w:proofErr w:type="spellStart"/>
            <w:r w:rsidRPr="006F1B87">
              <w:rPr>
                <w:rFonts w:ascii="Calibri" w:eastAsia="Times New Roman" w:hAnsi="Calibri" w:cs="Times New Roman"/>
              </w:rPr>
              <w:t>kabla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ya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kuamua</w:t>
            </w:r>
            <w:proofErr w:type="spellEnd"/>
          </w:p>
        </w:tc>
      </w:tr>
      <w:tr w:rsidR="00D343CA" w:rsidRPr="006F1B87" w:rsidTr="00B86293">
        <w:trPr>
          <w:trHeight w:val="280"/>
        </w:trPr>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r>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9. </w:t>
            </w:r>
            <w:r>
              <w:rPr>
                <w:rFonts w:ascii="Calibri" w:eastAsia="Times New Roman" w:hAnsi="Calibri" w:cs="Times New Roman"/>
              </w:rPr>
              <w:t>I like spending my money immediately after I get it.</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proofErr w:type="spellStart"/>
            <w:r>
              <w:rPr>
                <w:rFonts w:ascii="Calibri" w:eastAsia="Times New Roman" w:hAnsi="Calibri" w:cs="Times New Roman"/>
              </w:rPr>
              <w:t>Na</w:t>
            </w:r>
            <w:r w:rsidRPr="006F1B87">
              <w:rPr>
                <w:rFonts w:ascii="Calibri" w:eastAsia="Times New Roman" w:hAnsi="Calibri" w:cs="Times New Roman"/>
              </w:rPr>
              <w:t>penda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kutumia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pesa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za</w:t>
            </w:r>
            <w:r>
              <w:rPr>
                <w:rFonts w:ascii="Calibri" w:eastAsia="Times New Roman" w:hAnsi="Calibri" w:cs="Times New Roman"/>
              </w:rPr>
              <w:t>ngu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mara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tu</w:t>
            </w:r>
            <w:proofErr w:type="spellEnd"/>
            <w:r w:rsidRPr="006F1B87">
              <w:rPr>
                <w:rFonts w:ascii="Calibri" w:eastAsia="Times New Roman" w:hAnsi="Calibri" w:cs="Times New Roman"/>
              </w:rPr>
              <w:t xml:space="preserve"> </w:t>
            </w:r>
            <w:proofErr w:type="spellStart"/>
            <w:r>
              <w:rPr>
                <w:rFonts w:ascii="Calibri" w:eastAsia="Times New Roman" w:hAnsi="Calibri" w:cs="Times New Roman"/>
              </w:rPr>
              <w:t>ni</w:t>
            </w:r>
            <w:r w:rsidRPr="006F1B87">
              <w:rPr>
                <w:rFonts w:ascii="Calibri" w:eastAsia="Times New Roman" w:hAnsi="Calibri" w:cs="Times New Roman"/>
              </w:rPr>
              <w:t>napozipata</w:t>
            </w:r>
            <w:proofErr w:type="spellEnd"/>
          </w:p>
        </w:tc>
      </w:tr>
      <w:tr w:rsidR="00D343CA" w:rsidRPr="006F1B87" w:rsidTr="00B86293">
        <w:trPr>
          <w:trHeight w:val="280"/>
        </w:trPr>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r>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10. </w:t>
            </w:r>
            <w:r>
              <w:rPr>
                <w:rFonts w:ascii="Calibri" w:eastAsia="Times New Roman" w:hAnsi="Calibri" w:cs="Times New Roman"/>
              </w:rPr>
              <w:t>It is hard for me to avoid losing my temper when someone gets me very angry.</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r>
              <w:rPr>
                <w:rFonts w:ascii="Calibri" w:eastAsia="Times New Roman" w:hAnsi="Calibri" w:cs="Times New Roman"/>
              </w:rPr>
              <w:t>N</w:t>
            </w:r>
            <w:r w:rsidRPr="006F1B87">
              <w:rPr>
                <w:rFonts w:ascii="Calibri" w:eastAsia="Times New Roman" w:hAnsi="Calibri" w:cs="Times New Roman"/>
              </w:rPr>
              <w:t xml:space="preserve">i </w:t>
            </w:r>
            <w:proofErr w:type="spellStart"/>
            <w:r w:rsidRPr="006F1B87">
              <w:rPr>
                <w:rFonts w:ascii="Calibri" w:eastAsia="Times New Roman" w:hAnsi="Calibri" w:cs="Times New Roman"/>
              </w:rPr>
              <w:t>vigumu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kwa</w:t>
            </w:r>
            <w:r>
              <w:rPr>
                <w:rFonts w:ascii="Calibri" w:eastAsia="Times New Roman" w:hAnsi="Calibri" w:cs="Times New Roman"/>
              </w:rPr>
              <w:t>ngu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kuepuka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kulipuka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wakati</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mtu</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a</w:t>
            </w:r>
            <w:r>
              <w:rPr>
                <w:rFonts w:ascii="Calibri" w:eastAsia="Times New Roman" w:hAnsi="Calibri" w:cs="Times New Roman"/>
              </w:rPr>
              <w:t>meni</w:t>
            </w:r>
            <w:r w:rsidRPr="006F1B87">
              <w:rPr>
                <w:rFonts w:ascii="Calibri" w:eastAsia="Times New Roman" w:hAnsi="Calibri" w:cs="Times New Roman"/>
              </w:rPr>
              <w:t>kasirisha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sana</w:t>
            </w:r>
            <w:proofErr w:type="spellEnd"/>
          </w:p>
        </w:tc>
      </w:tr>
      <w:tr w:rsidR="00D343CA" w:rsidRPr="006F1B87" w:rsidTr="00B86293">
        <w:trPr>
          <w:trHeight w:val="280"/>
        </w:trPr>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r>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11. Most of the time, </w:t>
            </w:r>
            <w:r>
              <w:rPr>
                <w:rFonts w:ascii="Calibri" w:eastAsia="Times New Roman" w:hAnsi="Calibri" w:cs="Times New Roman"/>
              </w:rPr>
              <w:t>it is easy for me to be patient when I am kept waiting for things.</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r>
              <w:rPr>
                <w:rFonts w:ascii="Calibri" w:eastAsia="Times New Roman" w:hAnsi="Calibri" w:cs="Times New Roman"/>
              </w:rPr>
              <w:t xml:space="preserve">Mara </w:t>
            </w:r>
            <w:proofErr w:type="spellStart"/>
            <w:r>
              <w:rPr>
                <w:rFonts w:ascii="Calibri" w:eastAsia="Times New Roman" w:hAnsi="Calibri" w:cs="Times New Roman"/>
              </w:rPr>
              <w:t>nyingi</w:t>
            </w:r>
            <w:proofErr w:type="spellEnd"/>
            <w:r>
              <w:rPr>
                <w:rFonts w:ascii="Calibri" w:eastAsia="Times New Roman" w:hAnsi="Calibri" w:cs="Times New Roman"/>
              </w:rPr>
              <w:t xml:space="preserve">, </w:t>
            </w:r>
            <w:proofErr w:type="spellStart"/>
            <w:r>
              <w:rPr>
                <w:rFonts w:ascii="Calibri" w:eastAsia="Times New Roman" w:hAnsi="Calibri" w:cs="Times New Roman"/>
              </w:rPr>
              <w:t>ni</w:t>
            </w:r>
            <w:proofErr w:type="spellEnd"/>
            <w:r>
              <w:rPr>
                <w:rFonts w:ascii="Calibri" w:eastAsia="Times New Roman" w:hAnsi="Calibri" w:cs="Times New Roman"/>
              </w:rPr>
              <w:t xml:space="preserve"> </w:t>
            </w:r>
            <w:proofErr w:type="spellStart"/>
            <w:r>
              <w:rPr>
                <w:rFonts w:ascii="Calibri" w:eastAsia="Times New Roman" w:hAnsi="Calibri" w:cs="Times New Roman"/>
              </w:rPr>
              <w:t>rahisi</w:t>
            </w:r>
            <w:proofErr w:type="spellEnd"/>
            <w:r>
              <w:rPr>
                <w:rFonts w:ascii="Calibri" w:eastAsia="Times New Roman" w:hAnsi="Calibri" w:cs="Times New Roman"/>
              </w:rPr>
              <w:t xml:space="preserve"> </w:t>
            </w:r>
            <w:proofErr w:type="spellStart"/>
            <w:r>
              <w:rPr>
                <w:rFonts w:ascii="Calibri" w:eastAsia="Times New Roman" w:hAnsi="Calibri" w:cs="Times New Roman"/>
              </w:rPr>
              <w:t>kwangu</w:t>
            </w:r>
            <w:proofErr w:type="spellEnd"/>
            <w:r>
              <w:rPr>
                <w:rFonts w:ascii="Calibri" w:eastAsia="Times New Roman" w:hAnsi="Calibri" w:cs="Times New Roman"/>
              </w:rPr>
              <w:t xml:space="preserve"> </w:t>
            </w:r>
            <w:proofErr w:type="spellStart"/>
            <w:r>
              <w:rPr>
                <w:rFonts w:ascii="Calibri" w:eastAsia="Times New Roman" w:hAnsi="Calibri" w:cs="Times New Roman"/>
              </w:rPr>
              <w:t>kuwa</w:t>
            </w:r>
            <w:proofErr w:type="spellEnd"/>
            <w:r>
              <w:rPr>
                <w:rFonts w:ascii="Calibri" w:eastAsia="Times New Roman" w:hAnsi="Calibri" w:cs="Times New Roman"/>
              </w:rPr>
              <w:t xml:space="preserve"> </w:t>
            </w:r>
            <w:proofErr w:type="spellStart"/>
            <w:r>
              <w:rPr>
                <w:rFonts w:ascii="Calibri" w:eastAsia="Times New Roman" w:hAnsi="Calibri" w:cs="Times New Roman"/>
              </w:rPr>
              <w:t>na</w:t>
            </w:r>
            <w:proofErr w:type="spellEnd"/>
            <w:r>
              <w:rPr>
                <w:rFonts w:ascii="Calibri" w:eastAsia="Times New Roman" w:hAnsi="Calibri" w:cs="Times New Roman"/>
              </w:rPr>
              <w:t xml:space="preserve"> </w:t>
            </w:r>
            <w:proofErr w:type="spellStart"/>
            <w:r>
              <w:rPr>
                <w:rFonts w:ascii="Calibri" w:eastAsia="Times New Roman" w:hAnsi="Calibri" w:cs="Times New Roman"/>
              </w:rPr>
              <w:t>subira</w:t>
            </w:r>
            <w:proofErr w:type="spellEnd"/>
            <w:r>
              <w:rPr>
                <w:rFonts w:ascii="Calibri" w:eastAsia="Times New Roman" w:hAnsi="Calibri" w:cs="Times New Roman"/>
              </w:rPr>
              <w:t xml:space="preserve"> </w:t>
            </w:r>
            <w:proofErr w:type="spellStart"/>
            <w:r>
              <w:rPr>
                <w:rFonts w:ascii="Calibri" w:eastAsia="Times New Roman" w:hAnsi="Calibri" w:cs="Times New Roman"/>
              </w:rPr>
              <w:t>nikiwekwa</w:t>
            </w:r>
            <w:proofErr w:type="spellEnd"/>
            <w:r>
              <w:rPr>
                <w:rFonts w:ascii="Calibri" w:eastAsia="Times New Roman" w:hAnsi="Calibri" w:cs="Times New Roman"/>
              </w:rPr>
              <w:t xml:space="preserve"> </w:t>
            </w:r>
            <w:proofErr w:type="spellStart"/>
            <w:r>
              <w:rPr>
                <w:rFonts w:ascii="Calibri" w:eastAsia="Times New Roman" w:hAnsi="Calibri" w:cs="Times New Roman"/>
              </w:rPr>
              <w:t>kusubiri</w:t>
            </w:r>
            <w:proofErr w:type="spellEnd"/>
            <w:r>
              <w:rPr>
                <w:rFonts w:ascii="Calibri" w:eastAsia="Times New Roman" w:hAnsi="Calibri" w:cs="Times New Roman"/>
              </w:rPr>
              <w:t xml:space="preserve"> </w:t>
            </w:r>
            <w:proofErr w:type="spellStart"/>
            <w:r>
              <w:rPr>
                <w:rFonts w:ascii="Calibri" w:eastAsia="Times New Roman" w:hAnsi="Calibri" w:cs="Times New Roman"/>
              </w:rPr>
              <w:t>vitu</w:t>
            </w:r>
            <w:proofErr w:type="spellEnd"/>
            <w:r>
              <w:rPr>
                <w:rFonts w:ascii="Calibri" w:eastAsia="Times New Roman" w:hAnsi="Calibri" w:cs="Times New Roman"/>
              </w:rPr>
              <w:t>.</w:t>
            </w:r>
          </w:p>
        </w:tc>
      </w:tr>
      <w:tr w:rsidR="00D343CA" w:rsidRPr="006F1B87" w:rsidTr="00B86293">
        <w:trPr>
          <w:trHeight w:val="280"/>
        </w:trPr>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c>
          <w:tcPr>
            <w:tcW w:w="932" w:type="dxa"/>
            <w:tcBorders>
              <w:top w:val="nil"/>
              <w:left w:val="nil"/>
              <w:bottom w:val="nil"/>
              <w:right w:val="nil"/>
            </w:tcBorders>
            <w:shd w:val="clear" w:color="auto" w:fill="auto"/>
            <w:noWrap/>
            <w:hideMark/>
          </w:tcPr>
          <w:p w:rsidR="00D343CA" w:rsidRPr="006F1B87" w:rsidRDefault="00D343CA" w:rsidP="00B86293">
            <w:pPr>
              <w:rPr>
                <w:rFonts w:ascii="Calibri" w:eastAsia="Times New Roman" w:hAnsi="Calibri" w:cs="Times New Roman"/>
              </w:rPr>
            </w:pPr>
          </w:p>
        </w:tc>
      </w:tr>
      <w:tr w:rsidR="00D343CA" w:rsidRPr="006F1B87" w:rsidTr="00B86293">
        <w:trPr>
          <w:trHeight w:val="280"/>
        </w:trPr>
        <w:tc>
          <w:tcPr>
            <w:tcW w:w="9320" w:type="dxa"/>
            <w:gridSpan w:val="10"/>
            <w:tcBorders>
              <w:top w:val="nil"/>
              <w:left w:val="nil"/>
              <w:bottom w:val="nil"/>
              <w:right w:val="nil"/>
            </w:tcBorders>
            <w:shd w:val="clear" w:color="C5E0B3" w:fill="C5E0B3"/>
            <w:noWrap/>
            <w:hideMark/>
          </w:tcPr>
          <w:p w:rsidR="00D343CA" w:rsidRPr="006F1B87" w:rsidRDefault="00D343CA" w:rsidP="00B86293">
            <w:pPr>
              <w:rPr>
                <w:rFonts w:ascii="Calibri" w:eastAsia="Times New Roman" w:hAnsi="Calibri" w:cs="Times New Roman"/>
              </w:rPr>
            </w:pPr>
            <w:r w:rsidRPr="006F1B87">
              <w:rPr>
                <w:rFonts w:ascii="Calibri" w:eastAsia="Times New Roman" w:hAnsi="Calibri" w:cs="Times New Roman"/>
              </w:rPr>
              <w:t xml:space="preserve">12. </w:t>
            </w:r>
            <w:r>
              <w:rPr>
                <w:rFonts w:ascii="Calibri" w:eastAsia="Times New Roman" w:hAnsi="Calibri" w:cs="Times New Roman"/>
              </w:rPr>
              <w:t>I am good in planning things ahead.</w:t>
            </w:r>
          </w:p>
        </w:tc>
      </w:tr>
      <w:tr w:rsidR="00D343CA" w:rsidRPr="006F1B87" w:rsidTr="00B86293">
        <w:trPr>
          <w:trHeight w:val="280"/>
        </w:trPr>
        <w:tc>
          <w:tcPr>
            <w:tcW w:w="9320" w:type="dxa"/>
            <w:gridSpan w:val="10"/>
            <w:tcBorders>
              <w:top w:val="nil"/>
              <w:left w:val="nil"/>
              <w:bottom w:val="nil"/>
              <w:right w:val="nil"/>
            </w:tcBorders>
            <w:shd w:val="clear" w:color="000000" w:fill="E6B8B7"/>
            <w:noWrap/>
            <w:hideMark/>
          </w:tcPr>
          <w:p w:rsidR="00D343CA" w:rsidRPr="006F1B87" w:rsidRDefault="00D343CA" w:rsidP="00B86293">
            <w:pPr>
              <w:rPr>
                <w:rFonts w:ascii="Calibri" w:eastAsia="Times New Roman" w:hAnsi="Calibri" w:cs="Times New Roman"/>
              </w:rPr>
            </w:pPr>
            <w:r>
              <w:rPr>
                <w:rFonts w:ascii="Calibri" w:eastAsia="Times New Roman" w:hAnsi="Calibri" w:cs="Times New Roman"/>
              </w:rPr>
              <w:t>Mimi</w:t>
            </w:r>
            <w:r w:rsidRPr="006F1B87">
              <w:rPr>
                <w:rFonts w:ascii="Calibri" w:eastAsia="Times New Roman" w:hAnsi="Calibri" w:cs="Times New Roman"/>
              </w:rPr>
              <w:t xml:space="preserve"> </w:t>
            </w:r>
            <w:proofErr w:type="spellStart"/>
            <w:r w:rsidRPr="006F1B87">
              <w:rPr>
                <w:rFonts w:ascii="Calibri" w:eastAsia="Times New Roman" w:hAnsi="Calibri" w:cs="Times New Roman"/>
              </w:rPr>
              <w:t>ni</w:t>
            </w:r>
            <w:proofErr w:type="spellEnd"/>
            <w:r w:rsidRPr="006F1B87">
              <w:rPr>
                <w:rFonts w:ascii="Calibri" w:eastAsia="Times New Roman" w:hAnsi="Calibri" w:cs="Times New Roman"/>
              </w:rPr>
              <w:t xml:space="preserve"> bora </w:t>
            </w:r>
            <w:proofErr w:type="spellStart"/>
            <w:r>
              <w:rPr>
                <w:rFonts w:ascii="Calibri" w:eastAsia="Times New Roman" w:hAnsi="Calibri" w:cs="Times New Roman"/>
              </w:rPr>
              <w:t>kwa</w:t>
            </w:r>
            <w:proofErr w:type="spellEnd"/>
            <w:r>
              <w:rPr>
                <w:rFonts w:ascii="Calibri" w:eastAsia="Times New Roman" w:hAnsi="Calibri" w:cs="Times New Roman"/>
              </w:rPr>
              <w:t xml:space="preserve"> </w:t>
            </w:r>
            <w:proofErr w:type="spellStart"/>
            <w:r w:rsidRPr="006F1B87">
              <w:rPr>
                <w:rFonts w:ascii="Calibri" w:eastAsia="Times New Roman" w:hAnsi="Calibri" w:cs="Times New Roman"/>
              </w:rPr>
              <w:t>kupanga</w:t>
            </w:r>
            <w:proofErr w:type="spellEnd"/>
            <w:r w:rsidRPr="006F1B87">
              <w:rPr>
                <w:rFonts w:ascii="Calibri" w:eastAsia="Times New Roman" w:hAnsi="Calibri" w:cs="Times New Roman"/>
              </w:rPr>
              <w:t xml:space="preserve"> mambo </w:t>
            </w:r>
            <w:proofErr w:type="spellStart"/>
            <w:r w:rsidRPr="006F1B87">
              <w:rPr>
                <w:rFonts w:ascii="Calibri" w:eastAsia="Times New Roman" w:hAnsi="Calibri" w:cs="Times New Roman"/>
              </w:rPr>
              <w:t>kwa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njia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ya</w:t>
            </w:r>
            <w:proofErr w:type="spellEnd"/>
            <w:r w:rsidRPr="006F1B87">
              <w:rPr>
                <w:rFonts w:ascii="Calibri" w:eastAsia="Times New Roman" w:hAnsi="Calibri" w:cs="Times New Roman"/>
              </w:rPr>
              <w:t xml:space="preserve"> </w:t>
            </w:r>
            <w:proofErr w:type="spellStart"/>
            <w:r w:rsidRPr="006F1B87">
              <w:rPr>
                <w:rFonts w:ascii="Calibri" w:eastAsia="Times New Roman" w:hAnsi="Calibri" w:cs="Times New Roman"/>
              </w:rPr>
              <w:t>mapema</w:t>
            </w:r>
            <w:proofErr w:type="spellEnd"/>
          </w:p>
        </w:tc>
      </w:tr>
    </w:tbl>
    <w:p w:rsidR="00AA5918" w:rsidRDefault="00AA5918"/>
    <w:sectPr w:rsidR="00AA5918" w:rsidSect="00AA59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Garamound">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3CA"/>
    <w:rsid w:val="00AA5918"/>
    <w:rsid w:val="00D34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C4D8D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43CA"/>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D343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CA"/>
    <w:pPr>
      <w:spacing w:line="276" w:lineRule="auto"/>
    </w:pPr>
    <w:rPr>
      <w:rFonts w:ascii="Arial" w:eastAsia="Arial" w:hAnsi="Arial" w:cs="Arial"/>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43CA"/>
    <w:pPr>
      <w:spacing w:line="276" w:lineRule="auto"/>
    </w:pPr>
    <w:rPr>
      <w:rFonts w:ascii="Arial" w:eastAsia="Arial" w:hAnsi="Arial" w:cs="Arial"/>
      <w:color w:val="000000"/>
      <w:sz w:val="22"/>
      <w:szCs w:val="22"/>
    </w:rPr>
  </w:style>
  <w:style w:type="character" w:customStyle="1" w:styleId="apple-converted-space">
    <w:name w:val="apple-converted-space"/>
    <w:basedOn w:val="DefaultParagraphFont"/>
    <w:rsid w:val="00D343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12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2412</Characters>
  <Application>Microsoft Macintosh Word</Application>
  <DocSecurity>0</DocSecurity>
  <Lines>20</Lines>
  <Paragraphs>5</Paragraphs>
  <ScaleCrop>false</ScaleCrop>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Princeton University</dc:creator>
  <cp:keywords/>
  <dc:description/>
  <cp:lastModifiedBy>Princeton University</cp:lastModifiedBy>
  <cp:revision>1</cp:revision>
  <dcterms:created xsi:type="dcterms:W3CDTF">2017-09-29T19:15:00Z</dcterms:created>
  <dcterms:modified xsi:type="dcterms:W3CDTF">2017-09-29T19:16:00Z</dcterms:modified>
</cp:coreProperties>
</file>