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204D5" w14:textId="390BBC0E" w:rsidR="00C71B97" w:rsidRPr="00C71B97" w:rsidRDefault="00C71B97" w:rsidP="00C71B97">
      <w:pPr>
        <w:pStyle w:val="NoSpacing"/>
        <w:rPr>
          <w:rFonts w:ascii="Times New Roman" w:hAnsi="Times New Roman" w:cs="Times New Roman"/>
          <w:b/>
          <w:sz w:val="28"/>
        </w:rPr>
      </w:pPr>
      <w:r w:rsidRPr="00C71B97">
        <w:rPr>
          <w:rFonts w:ascii="Times New Roman" w:hAnsi="Times New Roman" w:cs="Times New Roman"/>
          <w:b/>
          <w:sz w:val="28"/>
        </w:rPr>
        <w:t xml:space="preserve">Convex </w:t>
      </w:r>
      <w:r w:rsidR="009B2BC1">
        <w:rPr>
          <w:rFonts w:ascii="Times New Roman" w:hAnsi="Times New Roman" w:cs="Times New Roman"/>
          <w:b/>
          <w:sz w:val="28"/>
        </w:rPr>
        <w:t>Time Budgets</w:t>
      </w:r>
    </w:p>
    <w:p w14:paraId="13101F12" w14:textId="77777777" w:rsidR="00C71B97" w:rsidRDefault="00C71B97" w:rsidP="00C71B97">
      <w:pPr>
        <w:pStyle w:val="NoSpacing"/>
        <w:rPr>
          <w:rFonts w:ascii="Times New Roman" w:hAnsi="Times New Roman" w:cs="Times New Roman"/>
        </w:rPr>
      </w:pPr>
      <w:proofErr w:type="spellStart"/>
      <w:r w:rsidRPr="00C71B97">
        <w:rPr>
          <w:rFonts w:ascii="Times New Roman" w:hAnsi="Times New Roman" w:cs="Times New Roman"/>
        </w:rPr>
        <w:t>Andreoni</w:t>
      </w:r>
      <w:proofErr w:type="spellEnd"/>
      <w:r w:rsidRPr="00C71B97">
        <w:rPr>
          <w:rFonts w:ascii="Times New Roman" w:hAnsi="Times New Roman" w:cs="Times New Roman"/>
        </w:rPr>
        <w:t xml:space="preserve">, J., &amp; </w:t>
      </w:r>
      <w:proofErr w:type="spellStart"/>
      <w:r w:rsidRPr="00C71B97">
        <w:rPr>
          <w:rFonts w:ascii="Times New Roman" w:hAnsi="Times New Roman" w:cs="Times New Roman"/>
        </w:rPr>
        <w:t>Sprenger</w:t>
      </w:r>
      <w:proofErr w:type="spellEnd"/>
      <w:r w:rsidRPr="00C71B97">
        <w:rPr>
          <w:rFonts w:ascii="Times New Roman" w:hAnsi="Times New Roman" w:cs="Times New Roman"/>
        </w:rPr>
        <w:t xml:space="preserve">, C. (2012). Estimating Time Preferences from Convex Budgets. </w:t>
      </w:r>
    </w:p>
    <w:p w14:paraId="6C84B826" w14:textId="77777777" w:rsidR="00C71B97" w:rsidRPr="00C71B97" w:rsidRDefault="00C71B97" w:rsidP="00C71B97">
      <w:pPr>
        <w:pStyle w:val="NoSpacing"/>
        <w:ind w:left="720"/>
        <w:rPr>
          <w:rFonts w:ascii="Times New Roman" w:hAnsi="Times New Roman" w:cs="Times New Roman"/>
        </w:rPr>
      </w:pPr>
      <w:r w:rsidRPr="00C71B97">
        <w:rPr>
          <w:rFonts w:ascii="Times New Roman" w:hAnsi="Times New Roman" w:cs="Times New Roman"/>
          <w:i/>
        </w:rPr>
        <w:t>American Economic Review, 102</w:t>
      </w:r>
      <w:r w:rsidRPr="00C71B97">
        <w:rPr>
          <w:rFonts w:ascii="Times New Roman" w:hAnsi="Times New Roman" w:cs="Times New Roman"/>
        </w:rPr>
        <w:t xml:space="preserve">(7), 3333–3356. </w:t>
      </w:r>
    </w:p>
    <w:p w14:paraId="3A997600" w14:textId="77777777" w:rsidR="00C71B97" w:rsidRDefault="00C71B97" w:rsidP="00E57F11">
      <w:pPr>
        <w:widowControl w:val="0"/>
        <w:autoSpaceDE w:val="0"/>
        <w:autoSpaceDN w:val="0"/>
        <w:adjustRightInd w:val="0"/>
        <w:spacing w:after="240"/>
        <w:rPr>
          <w:rFonts w:ascii="Times New Roman" w:hAnsi="Times New Roman" w:cs="Times New Roman"/>
        </w:rPr>
      </w:pPr>
    </w:p>
    <w:p w14:paraId="2C50C2EE" w14:textId="77777777" w:rsidR="00E57F11" w:rsidRPr="00C71B97" w:rsidRDefault="00E57F11" w:rsidP="00E57F11">
      <w:pPr>
        <w:widowControl w:val="0"/>
        <w:autoSpaceDE w:val="0"/>
        <w:autoSpaceDN w:val="0"/>
        <w:adjustRightInd w:val="0"/>
        <w:spacing w:after="240"/>
        <w:rPr>
          <w:rFonts w:ascii="Times New Roman" w:hAnsi="Times New Roman" w:cs="Times New Roman"/>
        </w:rPr>
      </w:pPr>
      <w:r w:rsidRPr="00C71B97">
        <w:rPr>
          <w:rFonts w:ascii="Times New Roman" w:hAnsi="Times New Roman" w:cs="Times New Roman"/>
        </w:rPr>
        <w:t xml:space="preserve">Subjects faced 45 convex budget decisions. These 45 budgets involved nine combinations of starting times, </w:t>
      </w:r>
      <w:r w:rsidRPr="00C71B97">
        <w:rPr>
          <w:rFonts w:ascii="Times New Roman" w:hAnsi="Times New Roman" w:cs="Times New Roman"/>
          <w:i/>
          <w:iCs/>
        </w:rPr>
        <w:t>t</w:t>
      </w:r>
      <w:r w:rsidRPr="00C71B97">
        <w:rPr>
          <w:rFonts w:ascii="Times New Roman" w:hAnsi="Times New Roman" w:cs="Times New Roman"/>
        </w:rPr>
        <w:t xml:space="preserve">, and delay lengths, </w:t>
      </w:r>
      <w:r w:rsidRPr="00C71B97">
        <w:rPr>
          <w:rFonts w:ascii="Times New Roman" w:hAnsi="Times New Roman" w:cs="Times New Roman"/>
          <w:i/>
          <w:iCs/>
        </w:rPr>
        <w:t>k</w:t>
      </w:r>
      <w:r w:rsidRPr="00C71B97">
        <w:rPr>
          <w:rFonts w:ascii="Times New Roman" w:hAnsi="Times New Roman" w:cs="Times New Roman"/>
        </w:rPr>
        <w:t xml:space="preserve">, with annual interest rates that varied from zero to over 1,000 percent per year. </w:t>
      </w:r>
    </w:p>
    <w:p w14:paraId="3152F1A3" w14:textId="77777777" w:rsidR="00E57F11" w:rsidRPr="00C71B97" w:rsidRDefault="00E57F11" w:rsidP="00E57F11">
      <w:pPr>
        <w:widowControl w:val="0"/>
        <w:autoSpaceDE w:val="0"/>
        <w:autoSpaceDN w:val="0"/>
        <w:adjustRightInd w:val="0"/>
        <w:spacing w:after="240"/>
        <w:rPr>
          <w:rFonts w:ascii="Times New Roman" w:hAnsi="Times New Roman" w:cs="Times New Roman"/>
        </w:rPr>
      </w:pPr>
      <w:r w:rsidRPr="00C71B97">
        <w:rPr>
          <w:rFonts w:ascii="Times New Roman" w:hAnsi="Times New Roman" w:cs="Times New Roman"/>
        </w:rPr>
        <w:t xml:space="preserve">A (3 × 3) design was implemented with three sooner payment dates, </w:t>
      </w:r>
      <w:r w:rsidRPr="00C71B97">
        <w:rPr>
          <w:rFonts w:ascii="Times New Roman" w:hAnsi="Times New Roman" w:cs="Times New Roman"/>
          <w:i/>
          <w:iCs/>
        </w:rPr>
        <w:t xml:space="preserve">t </w:t>
      </w:r>
      <w:r w:rsidRPr="00C71B97">
        <w:rPr>
          <w:rFonts w:ascii="Times New Roman" w:hAnsi="Times New Roman" w:cs="Times New Roman"/>
        </w:rPr>
        <w:t>= (0, 7, 35) days from the experiment date, crossed with three delay lengths, (</w:t>
      </w:r>
      <w:r w:rsidRPr="00C71B97">
        <w:rPr>
          <w:rFonts w:ascii="Times New Roman" w:hAnsi="Times New Roman" w:cs="Times New Roman"/>
          <w:i/>
          <w:iCs/>
        </w:rPr>
        <w:t xml:space="preserve">k </w:t>
      </w:r>
      <w:r w:rsidRPr="00C71B97">
        <w:rPr>
          <w:rFonts w:ascii="Times New Roman" w:hAnsi="Times New Roman" w:cs="Times New Roman"/>
        </w:rPr>
        <w:t>= 35, 70, 98) days</w:t>
      </w:r>
      <w:r w:rsidR="00C71B97" w:rsidRPr="00C71B97">
        <w:rPr>
          <w:rFonts w:ascii="Times New Roman" w:hAnsi="Times New Roman" w:cs="Times New Roman"/>
        </w:rPr>
        <w:t>. T</w:t>
      </w:r>
      <w:r w:rsidRPr="00C71B97">
        <w:rPr>
          <w:rFonts w:ascii="Times New Roman" w:hAnsi="Times New Roman" w:cs="Times New Roman"/>
        </w:rPr>
        <w:t>hus there are nine (</w:t>
      </w:r>
      <w:r w:rsidRPr="00C71B97">
        <w:rPr>
          <w:rFonts w:ascii="Times New Roman" w:hAnsi="Times New Roman" w:cs="Times New Roman"/>
          <w:i/>
          <w:iCs/>
        </w:rPr>
        <w:t>t</w:t>
      </w:r>
      <w:r w:rsidRPr="00C71B97">
        <w:rPr>
          <w:rFonts w:ascii="Times New Roman" w:hAnsi="Times New Roman" w:cs="Times New Roman"/>
        </w:rPr>
        <w:t xml:space="preserve">, </w:t>
      </w:r>
      <w:r w:rsidRPr="00C71B97">
        <w:rPr>
          <w:rFonts w:ascii="Times New Roman" w:hAnsi="Times New Roman" w:cs="Times New Roman"/>
          <w:i/>
          <w:iCs/>
        </w:rPr>
        <w:t>k</w:t>
      </w:r>
      <w:r w:rsidRPr="00C71B97">
        <w:rPr>
          <w:rFonts w:ascii="Times New Roman" w:hAnsi="Times New Roman" w:cs="Times New Roman"/>
        </w:rPr>
        <w:t>) cells and within each cell are five CTB questions, generating 45 choices for each subject. We refer to each (</w:t>
      </w:r>
      <w:r w:rsidRPr="00C71B97">
        <w:rPr>
          <w:rFonts w:ascii="Times New Roman" w:hAnsi="Times New Roman" w:cs="Times New Roman"/>
          <w:i/>
          <w:iCs/>
        </w:rPr>
        <w:t>t</w:t>
      </w:r>
      <w:r w:rsidRPr="00C71B97">
        <w:rPr>
          <w:rFonts w:ascii="Times New Roman" w:hAnsi="Times New Roman" w:cs="Times New Roman"/>
        </w:rPr>
        <w:t xml:space="preserve">, </w:t>
      </w:r>
      <w:r w:rsidRPr="00C71B97">
        <w:rPr>
          <w:rFonts w:ascii="Times New Roman" w:hAnsi="Times New Roman" w:cs="Times New Roman"/>
          <w:i/>
          <w:iCs/>
        </w:rPr>
        <w:t>k</w:t>
      </w:r>
      <w:r w:rsidRPr="00C71B97">
        <w:rPr>
          <w:rFonts w:ascii="Times New Roman" w:hAnsi="Times New Roman" w:cs="Times New Roman"/>
        </w:rPr>
        <w:t xml:space="preserve">) combination as a “choice set.” The </w:t>
      </w:r>
      <w:r w:rsidRPr="00C71B97">
        <w:rPr>
          <w:rFonts w:ascii="Times New Roman" w:hAnsi="Times New Roman" w:cs="Times New Roman"/>
          <w:i/>
          <w:iCs/>
        </w:rPr>
        <w:t xml:space="preserve">t </w:t>
      </w:r>
      <w:r w:rsidRPr="00C71B97">
        <w:rPr>
          <w:rFonts w:ascii="Times New Roman" w:hAnsi="Times New Roman" w:cs="Times New Roman"/>
        </w:rPr>
        <w:t xml:space="preserve">and </w:t>
      </w:r>
      <w:r w:rsidRPr="00C71B97">
        <w:rPr>
          <w:rFonts w:ascii="Times New Roman" w:hAnsi="Times New Roman" w:cs="Times New Roman"/>
          <w:i/>
          <w:iCs/>
        </w:rPr>
        <w:t xml:space="preserve">k </w:t>
      </w:r>
      <w:r w:rsidRPr="00C71B97">
        <w:rPr>
          <w:rFonts w:ascii="Times New Roman" w:hAnsi="Times New Roman" w:cs="Times New Roman"/>
        </w:rPr>
        <w:t>combinations used in our study were selected to avoid holidays (including Valentine’s Day), school vacations, spring break, and final examination weeks. Payments were scheduled to arrive on the same day of the week (</w:t>
      </w:r>
      <w:r w:rsidRPr="00C71B97">
        <w:rPr>
          <w:rFonts w:ascii="Times New Roman" w:hAnsi="Times New Roman" w:cs="Times New Roman"/>
          <w:i/>
          <w:iCs/>
        </w:rPr>
        <w:t xml:space="preserve">t </w:t>
      </w:r>
      <w:r w:rsidRPr="00C71B97">
        <w:rPr>
          <w:rFonts w:ascii="Times New Roman" w:hAnsi="Times New Roman" w:cs="Times New Roman"/>
        </w:rPr>
        <w:t xml:space="preserve">and </w:t>
      </w:r>
      <w:r w:rsidRPr="00C71B97">
        <w:rPr>
          <w:rFonts w:ascii="Times New Roman" w:hAnsi="Times New Roman" w:cs="Times New Roman"/>
          <w:i/>
          <w:iCs/>
        </w:rPr>
        <w:t xml:space="preserve">k </w:t>
      </w:r>
      <w:r w:rsidRPr="00C71B97">
        <w:rPr>
          <w:rFonts w:ascii="Times New Roman" w:hAnsi="Times New Roman" w:cs="Times New Roman"/>
        </w:rPr>
        <w:t xml:space="preserve">are both multiples of 7), to avoid differential weekday effects. </w:t>
      </w:r>
    </w:p>
    <w:p w14:paraId="560CD780" w14:textId="77777777" w:rsidR="00E57F11" w:rsidRPr="00C71B97" w:rsidRDefault="00E57F11" w:rsidP="00E57F11">
      <w:pPr>
        <w:widowControl w:val="0"/>
        <w:autoSpaceDE w:val="0"/>
        <w:autoSpaceDN w:val="0"/>
        <w:adjustRightInd w:val="0"/>
        <w:spacing w:after="240"/>
        <w:rPr>
          <w:rFonts w:ascii="Times New Roman" w:hAnsi="Times New Roman" w:cs="Times New Roman"/>
        </w:rPr>
      </w:pPr>
      <w:r w:rsidRPr="00C71B97">
        <w:rPr>
          <w:rFonts w:ascii="Times New Roman" w:hAnsi="Times New Roman" w:cs="Times New Roman"/>
        </w:rPr>
        <w:t>In each CTB question, subjects were given a bud</w:t>
      </w:r>
      <w:r w:rsidR="00C71B97" w:rsidRPr="00C71B97">
        <w:rPr>
          <w:rFonts w:ascii="Times New Roman" w:hAnsi="Times New Roman" w:cs="Times New Roman"/>
        </w:rPr>
        <w:t>get of 100 tokens. Tokens allo</w:t>
      </w:r>
      <w:r w:rsidRPr="00C71B97">
        <w:rPr>
          <w:rFonts w:ascii="Times New Roman" w:hAnsi="Times New Roman" w:cs="Times New Roman"/>
        </w:rPr>
        <w:t xml:space="preserve">cated to sooner payments had a value of </w:t>
      </w:r>
      <w:r w:rsidRPr="00C71B97">
        <w:rPr>
          <w:rFonts w:ascii="Times New Roman" w:hAnsi="Times New Roman" w:cs="Times New Roman"/>
          <w:i/>
          <w:iCs/>
        </w:rPr>
        <w:t>a</w:t>
      </w:r>
      <w:r w:rsidRPr="00C71B97">
        <w:rPr>
          <w:rFonts w:ascii="Times New Roman" w:hAnsi="Times New Roman" w:cs="Times New Roman"/>
          <w:i/>
          <w:iCs/>
          <w:position w:val="-6"/>
        </w:rPr>
        <w:t xml:space="preserve">t </w:t>
      </w:r>
      <w:r w:rsidRPr="00C71B97">
        <w:rPr>
          <w:rFonts w:ascii="Times New Roman" w:hAnsi="Times New Roman" w:cs="Times New Roman"/>
        </w:rPr>
        <w:t xml:space="preserve">while tokens allocated to later payments had a value of </w:t>
      </w:r>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rPr>
        <w:t xml:space="preserve">. In most cases, </w:t>
      </w:r>
      <w:proofErr w:type="gramStart"/>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i/>
          <w:iCs/>
          <w:position w:val="-6"/>
        </w:rPr>
        <w:t xml:space="preserve"> </w:t>
      </w:r>
      <w:r w:rsidRPr="00C71B97">
        <w:rPr>
          <w:rFonts w:ascii="Times New Roman" w:hAnsi="Times New Roman" w:cs="Times New Roman"/>
        </w:rPr>
        <w:t>was</w:t>
      </w:r>
      <w:proofErr w:type="gramEnd"/>
      <w:r w:rsidRPr="00C71B97">
        <w:rPr>
          <w:rFonts w:ascii="Times New Roman" w:hAnsi="Times New Roman" w:cs="Times New Roman"/>
        </w:rPr>
        <w:t xml:space="preserve"> $0.20 per token and </w:t>
      </w:r>
      <w:r w:rsidRPr="00C71B97">
        <w:rPr>
          <w:rFonts w:ascii="Times New Roman" w:hAnsi="Times New Roman" w:cs="Times New Roman"/>
          <w:i/>
          <w:iCs/>
        </w:rPr>
        <w:t>a</w:t>
      </w:r>
      <w:r w:rsidRPr="00C71B97">
        <w:rPr>
          <w:rFonts w:ascii="Times New Roman" w:hAnsi="Times New Roman" w:cs="Times New Roman"/>
          <w:i/>
          <w:iCs/>
          <w:position w:val="-6"/>
        </w:rPr>
        <w:t xml:space="preserve">t </w:t>
      </w:r>
      <w:r w:rsidRPr="00C71B97">
        <w:rPr>
          <w:rFonts w:ascii="Times New Roman" w:hAnsi="Times New Roman" w:cs="Times New Roman"/>
        </w:rPr>
        <w:t>varied from $0.20 to $0.10 per token</w:t>
      </w:r>
      <w:r w:rsidR="00C71B97" w:rsidRPr="00C71B97">
        <w:rPr>
          <w:rFonts w:ascii="Times New Roman" w:hAnsi="Times New Roman" w:cs="Times New Roman"/>
        </w:rPr>
        <w:t>. N</w:t>
      </w:r>
      <w:r w:rsidRPr="00C71B97">
        <w:rPr>
          <w:rFonts w:ascii="Times New Roman" w:hAnsi="Times New Roman" w:cs="Times New Roman"/>
        </w:rPr>
        <w:t xml:space="preserve">ote that </w:t>
      </w:r>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rPr>
        <w:t>/</w:t>
      </w:r>
      <w:r w:rsidRPr="00C71B97">
        <w:rPr>
          <w:rFonts w:ascii="Times New Roman" w:hAnsi="Times New Roman" w:cs="Times New Roman"/>
          <w:i/>
          <w:iCs/>
        </w:rPr>
        <w:t>a</w:t>
      </w:r>
      <w:r w:rsidRPr="00C71B97">
        <w:rPr>
          <w:rFonts w:ascii="Times New Roman" w:hAnsi="Times New Roman" w:cs="Times New Roman"/>
          <w:i/>
          <w:iCs/>
          <w:position w:val="-6"/>
        </w:rPr>
        <w:t xml:space="preserve">t </w:t>
      </w:r>
      <w:r w:rsidRPr="00C71B97">
        <w:rPr>
          <w:rFonts w:ascii="Times New Roman" w:hAnsi="Times New Roman" w:cs="Times New Roman"/>
        </w:rPr>
        <w:t xml:space="preserve">= 1 + </w:t>
      </w:r>
      <w:r w:rsidRPr="00C71B97">
        <w:rPr>
          <w:rFonts w:ascii="Times New Roman" w:hAnsi="Times New Roman" w:cs="Times New Roman"/>
          <w:i/>
          <w:iCs/>
        </w:rPr>
        <w:t>r</w:t>
      </w:r>
      <w:r w:rsidRPr="00C71B97">
        <w:rPr>
          <w:rFonts w:ascii="Times New Roman" w:hAnsi="Times New Roman" w:cs="Times New Roman"/>
        </w:rPr>
        <w:t xml:space="preserve">, the gross interest rate over </w:t>
      </w:r>
      <w:r w:rsidRPr="00C71B97">
        <w:rPr>
          <w:rFonts w:ascii="Times New Roman" w:hAnsi="Times New Roman" w:cs="Times New Roman"/>
          <w:i/>
          <w:iCs/>
        </w:rPr>
        <w:t xml:space="preserve">k </w:t>
      </w:r>
      <w:r w:rsidRPr="00C71B97">
        <w:rPr>
          <w:rFonts w:ascii="Times New Roman" w:hAnsi="Times New Roman" w:cs="Times New Roman"/>
        </w:rPr>
        <w:t xml:space="preserve">days, so (1 + </w:t>
      </w:r>
      <w:r w:rsidRPr="00C71B97">
        <w:rPr>
          <w:rFonts w:ascii="Times New Roman" w:hAnsi="Times New Roman" w:cs="Times New Roman"/>
          <w:i/>
          <w:iCs/>
        </w:rPr>
        <w:t>r</w:t>
      </w:r>
      <w:r w:rsidRPr="00C71B97">
        <w:rPr>
          <w:rFonts w:ascii="Times New Roman" w:hAnsi="Times New Roman" w:cs="Times New Roman"/>
        </w:rPr>
        <w:t>)</w:t>
      </w:r>
      <w:r w:rsidRPr="00C71B97">
        <w:rPr>
          <w:rFonts w:ascii="Times New Roman" w:hAnsi="Times New Roman" w:cs="Times New Roman"/>
          <w:position w:val="10"/>
        </w:rPr>
        <w:t>1/</w:t>
      </w:r>
      <w:r w:rsidRPr="00C71B97">
        <w:rPr>
          <w:rFonts w:ascii="Times New Roman" w:hAnsi="Times New Roman" w:cs="Times New Roman"/>
          <w:i/>
          <w:iCs/>
          <w:position w:val="10"/>
        </w:rPr>
        <w:t xml:space="preserve">k </w:t>
      </w:r>
      <w:r w:rsidRPr="00C71B97">
        <w:rPr>
          <w:rFonts w:ascii="Times New Roman" w:hAnsi="Times New Roman" w:cs="Times New Roman"/>
        </w:rPr>
        <w:t xml:space="preserve">gives the standardized daily interest rate. Daily net interest rates in the experiment varied considerably across the 45 budgets, from 0 to around 1 percent per day implying annual interest rates of between 0 and 1,300 percent (compounded quarterly). </w:t>
      </w:r>
    </w:p>
    <w:p w14:paraId="45B428CF" w14:textId="77777777" w:rsidR="00E57F11" w:rsidRPr="00C71B97" w:rsidRDefault="00E57F11" w:rsidP="00E57F11">
      <w:pPr>
        <w:widowControl w:val="0"/>
        <w:autoSpaceDE w:val="0"/>
        <w:autoSpaceDN w:val="0"/>
        <w:adjustRightInd w:val="0"/>
        <w:spacing w:after="240"/>
        <w:rPr>
          <w:rFonts w:ascii="Times New Roman" w:hAnsi="Times New Roman" w:cs="Times New Roman"/>
        </w:rPr>
      </w:pPr>
      <w:r w:rsidRPr="00C71B97">
        <w:rPr>
          <w:rFonts w:ascii="Times New Roman" w:hAnsi="Times New Roman" w:cs="Times New Roman"/>
        </w:rPr>
        <w:t xml:space="preserve">Each choice set featured </w:t>
      </w:r>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i/>
          <w:iCs/>
          <w:position w:val="-6"/>
        </w:rPr>
        <w:t xml:space="preserve"> </w:t>
      </w:r>
      <w:r w:rsidRPr="00C71B97">
        <w:rPr>
          <w:rFonts w:ascii="Times New Roman" w:hAnsi="Times New Roman" w:cs="Times New Roman"/>
        </w:rPr>
        <w:t xml:space="preserve">= $0.20 and </w:t>
      </w:r>
      <w:r w:rsidRPr="00C71B97">
        <w:rPr>
          <w:rFonts w:ascii="Times New Roman" w:hAnsi="Times New Roman" w:cs="Times New Roman"/>
          <w:i/>
          <w:iCs/>
        </w:rPr>
        <w:t>a</w:t>
      </w:r>
      <w:r w:rsidRPr="00C71B97">
        <w:rPr>
          <w:rFonts w:ascii="Times New Roman" w:hAnsi="Times New Roman" w:cs="Times New Roman"/>
          <w:i/>
          <w:iCs/>
          <w:position w:val="-6"/>
        </w:rPr>
        <w:t xml:space="preserve">t </w:t>
      </w:r>
      <w:r w:rsidRPr="00C71B97">
        <w:rPr>
          <w:rFonts w:ascii="Times New Roman" w:hAnsi="Times New Roman" w:cs="Times New Roman"/>
        </w:rPr>
        <w:t xml:space="preserve">= $0.16 (1 + </w:t>
      </w:r>
      <w:r w:rsidRPr="00C71B97">
        <w:rPr>
          <w:rFonts w:ascii="Times New Roman" w:hAnsi="Times New Roman" w:cs="Times New Roman"/>
          <w:i/>
          <w:iCs/>
        </w:rPr>
        <w:t xml:space="preserve">r </w:t>
      </w:r>
      <w:r w:rsidRPr="00C71B97">
        <w:rPr>
          <w:rFonts w:ascii="Times New Roman" w:hAnsi="Times New Roman" w:cs="Times New Roman"/>
        </w:rPr>
        <w:t xml:space="preserve">= 1.25). In eight of the nine choice sets, one convex budget represented a pure income shift relative to this choice. This was implemented with </w:t>
      </w:r>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i/>
          <w:iCs/>
          <w:position w:val="-6"/>
        </w:rPr>
        <w:t xml:space="preserve"> </w:t>
      </w:r>
      <w:r w:rsidRPr="00C71B97">
        <w:rPr>
          <w:rFonts w:ascii="Times New Roman" w:hAnsi="Times New Roman" w:cs="Times New Roman"/>
        </w:rPr>
        <w:t xml:space="preserve">= $0.25 and </w:t>
      </w:r>
      <w:r w:rsidRPr="00C71B97">
        <w:rPr>
          <w:rFonts w:ascii="Times New Roman" w:hAnsi="Times New Roman" w:cs="Times New Roman"/>
          <w:i/>
          <w:iCs/>
        </w:rPr>
        <w:t>a</w:t>
      </w:r>
      <w:r w:rsidRPr="00C71B97">
        <w:rPr>
          <w:rFonts w:ascii="Times New Roman" w:hAnsi="Times New Roman" w:cs="Times New Roman"/>
          <w:i/>
          <w:iCs/>
          <w:position w:val="-6"/>
        </w:rPr>
        <w:t xml:space="preserve">t </w:t>
      </w:r>
      <w:r w:rsidRPr="00C71B97">
        <w:rPr>
          <w:rFonts w:ascii="Times New Roman" w:hAnsi="Times New Roman" w:cs="Times New Roman"/>
        </w:rPr>
        <w:t xml:space="preserve">= $0.20 (1 + </w:t>
      </w:r>
      <w:r w:rsidRPr="00C71B97">
        <w:rPr>
          <w:rFonts w:ascii="Times New Roman" w:hAnsi="Times New Roman" w:cs="Times New Roman"/>
          <w:i/>
          <w:iCs/>
        </w:rPr>
        <w:t xml:space="preserve">r </w:t>
      </w:r>
      <w:r w:rsidRPr="00C71B97">
        <w:rPr>
          <w:rFonts w:ascii="Times New Roman" w:hAnsi="Times New Roman" w:cs="Times New Roman"/>
        </w:rPr>
        <w:t>= 1.25 again). In the remaining choice set, (</w:t>
      </w:r>
      <w:proofErr w:type="spellStart"/>
      <w:r w:rsidRPr="00C71B97">
        <w:rPr>
          <w:rFonts w:ascii="Times New Roman" w:hAnsi="Times New Roman" w:cs="Times New Roman"/>
          <w:i/>
          <w:iCs/>
        </w:rPr>
        <w:t>t</w:t>
      </w:r>
      <w:proofErr w:type="gramStart"/>
      <w:r w:rsidRPr="00C71B97">
        <w:rPr>
          <w:rFonts w:ascii="Times New Roman" w:hAnsi="Times New Roman" w:cs="Times New Roman"/>
        </w:rPr>
        <w:t>,</w:t>
      </w:r>
      <w:r w:rsidRPr="00C71B97">
        <w:rPr>
          <w:rFonts w:ascii="Times New Roman" w:hAnsi="Times New Roman" w:cs="Times New Roman"/>
          <w:i/>
          <w:iCs/>
        </w:rPr>
        <w:t>k</w:t>
      </w:r>
      <w:proofErr w:type="spellEnd"/>
      <w:proofErr w:type="gramEnd"/>
      <w:r w:rsidRPr="00C71B97">
        <w:rPr>
          <w:rFonts w:ascii="Times New Roman" w:hAnsi="Times New Roman" w:cs="Times New Roman"/>
        </w:rPr>
        <w:t xml:space="preserve">)=(7,70), we instead implemented </w:t>
      </w:r>
      <w:r w:rsidRPr="00C71B97">
        <w:rPr>
          <w:rFonts w:ascii="Times New Roman" w:hAnsi="Times New Roman" w:cs="Times New Roman"/>
          <w:i/>
          <w:iCs/>
        </w:rPr>
        <w:t>a</w:t>
      </w:r>
      <w:r w:rsidRPr="00C71B97">
        <w:rPr>
          <w:rFonts w:ascii="Times New Roman" w:hAnsi="Times New Roman" w:cs="Times New Roman"/>
          <w:i/>
          <w:iCs/>
          <w:position w:val="-6"/>
        </w:rPr>
        <w:t xml:space="preserve">t </w:t>
      </w:r>
      <w:r w:rsidRPr="00C71B97">
        <w:rPr>
          <w:rFonts w:ascii="Times New Roman" w:hAnsi="Times New Roman" w:cs="Times New Roman"/>
        </w:rPr>
        <w:t xml:space="preserve">= $0.20 and </w:t>
      </w:r>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i/>
          <w:iCs/>
          <w:position w:val="-6"/>
        </w:rPr>
        <w:t xml:space="preserve"> </w:t>
      </w:r>
      <w:r w:rsidRPr="00C71B97">
        <w:rPr>
          <w:rFonts w:ascii="Times New Roman" w:hAnsi="Times New Roman" w:cs="Times New Roman"/>
        </w:rPr>
        <w:t xml:space="preserve">= $0.20, a zero percent interest rate. Table 1 shows the token rates, interest rates, standardized daily interest rates, and corresponding annual interest rates for all 45 budgets. </w:t>
      </w:r>
    </w:p>
    <w:p w14:paraId="2B8E68D7" w14:textId="77777777" w:rsidR="00E57F11" w:rsidRPr="00C71B97" w:rsidRDefault="00E57F11" w:rsidP="00E57F11">
      <w:pPr>
        <w:widowControl w:val="0"/>
        <w:autoSpaceDE w:val="0"/>
        <w:autoSpaceDN w:val="0"/>
        <w:adjustRightInd w:val="0"/>
        <w:rPr>
          <w:rFonts w:ascii="Times New Roman" w:hAnsi="Times New Roman" w:cs="Times New Roman"/>
        </w:rPr>
      </w:pPr>
      <w:r w:rsidRPr="00C71B97">
        <w:rPr>
          <w:rFonts w:ascii="Times New Roman" w:hAnsi="Times New Roman" w:cs="Times New Roman"/>
          <w:noProof/>
        </w:rPr>
        <w:lastRenderedPageBreak/>
        <w:drawing>
          <wp:inline distT="0" distB="0" distL="0" distR="0" wp14:anchorId="203EF705" wp14:editId="2A973C15">
            <wp:extent cx="5521246" cy="434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1246" cy="4343400"/>
                    </a:xfrm>
                    <a:prstGeom prst="rect">
                      <a:avLst/>
                    </a:prstGeom>
                    <a:noFill/>
                    <a:ln>
                      <a:noFill/>
                    </a:ln>
                  </pic:spPr>
                </pic:pic>
              </a:graphicData>
            </a:graphic>
          </wp:inline>
        </w:drawing>
      </w:r>
      <w:r w:rsidRPr="00C71B97">
        <w:rPr>
          <w:rFonts w:ascii="Times New Roman" w:hAnsi="Times New Roman" w:cs="Times New Roman"/>
        </w:rPr>
        <w:t xml:space="preserve"> </w:t>
      </w:r>
    </w:p>
    <w:p w14:paraId="1158B934" w14:textId="77777777" w:rsidR="00E57F11" w:rsidRPr="00C71B97" w:rsidRDefault="00E57F11" w:rsidP="00E57F11">
      <w:pPr>
        <w:widowControl w:val="0"/>
        <w:autoSpaceDE w:val="0"/>
        <w:autoSpaceDN w:val="0"/>
        <w:adjustRightInd w:val="0"/>
        <w:spacing w:after="240"/>
        <w:rPr>
          <w:rFonts w:ascii="Times New Roman" w:hAnsi="Times New Roman" w:cs="Times New Roman"/>
        </w:rPr>
      </w:pPr>
      <w:r w:rsidRPr="00C71B97">
        <w:rPr>
          <w:rFonts w:ascii="Times New Roman" w:hAnsi="Times New Roman" w:cs="Times New Roman"/>
        </w:rPr>
        <w:t>Subjects’ decision screens displayed a dynamic calendar and a series of nine “decision tabs.” These decision tabs corresponded to the nine choice sets described above, one tab for each (</w:t>
      </w:r>
      <w:r w:rsidRPr="00C71B97">
        <w:rPr>
          <w:rFonts w:ascii="Times New Roman" w:hAnsi="Times New Roman" w:cs="Times New Roman"/>
          <w:i/>
          <w:iCs/>
        </w:rPr>
        <w:t>t</w:t>
      </w:r>
      <w:r w:rsidRPr="00C71B97">
        <w:rPr>
          <w:rFonts w:ascii="Times New Roman" w:hAnsi="Times New Roman" w:cs="Times New Roman"/>
        </w:rPr>
        <w:t xml:space="preserve">, </w:t>
      </w:r>
      <w:r w:rsidRPr="00C71B97">
        <w:rPr>
          <w:rFonts w:ascii="Times New Roman" w:hAnsi="Times New Roman" w:cs="Times New Roman"/>
          <w:i/>
          <w:iCs/>
        </w:rPr>
        <w:t>k</w:t>
      </w:r>
      <w:r w:rsidRPr="00C71B97">
        <w:rPr>
          <w:rFonts w:ascii="Times New Roman" w:hAnsi="Times New Roman" w:cs="Times New Roman"/>
        </w:rPr>
        <w:t>) combination. Subjects could respond to the decision tabs in any order they wished. Each decision tab had five budget decisions presented in order of increasing interest rate and then in order of increasing budget.</w:t>
      </w:r>
      <w:r w:rsidR="00C71B97" w:rsidRPr="00C71B97">
        <w:rPr>
          <w:rFonts w:ascii="Times New Roman" w:hAnsi="Times New Roman" w:cs="Times New Roman"/>
        </w:rPr>
        <w:t xml:space="preserve"> A</w:t>
      </w:r>
      <w:r w:rsidRPr="00C71B97">
        <w:rPr>
          <w:rFonts w:ascii="Times New Roman" w:hAnsi="Times New Roman" w:cs="Times New Roman"/>
        </w:rPr>
        <w:t xml:space="preserve">n image of the decision screen is presented in Figure 1. </w:t>
      </w:r>
    </w:p>
    <w:p w14:paraId="6D1E3E10" w14:textId="2C740B9F" w:rsidR="0073609E" w:rsidRDefault="00E57F11" w:rsidP="00E57F11">
      <w:pPr>
        <w:widowControl w:val="0"/>
        <w:autoSpaceDE w:val="0"/>
        <w:autoSpaceDN w:val="0"/>
        <w:adjustRightInd w:val="0"/>
        <w:spacing w:after="240"/>
        <w:rPr>
          <w:rFonts w:ascii="Times New Roman" w:hAnsi="Times New Roman" w:cs="Times New Roman"/>
        </w:rPr>
      </w:pPr>
      <w:r w:rsidRPr="00C71B97">
        <w:rPr>
          <w:rFonts w:ascii="Times New Roman" w:hAnsi="Times New Roman" w:cs="Times New Roman"/>
        </w:rPr>
        <w:t xml:space="preserve">For each decision, individuals were told how many tokens they were to allocate (always 100), the sooner token value </w:t>
      </w:r>
      <w:r w:rsidRPr="00C71B97">
        <w:rPr>
          <w:rFonts w:ascii="Times New Roman" w:hAnsi="Times New Roman" w:cs="Times New Roman"/>
          <w:i/>
          <w:iCs/>
        </w:rPr>
        <w:t>a</w:t>
      </w:r>
      <w:r w:rsidRPr="00C71B97">
        <w:rPr>
          <w:rFonts w:ascii="Times New Roman" w:hAnsi="Times New Roman" w:cs="Times New Roman"/>
          <w:i/>
          <w:iCs/>
          <w:position w:val="-6"/>
        </w:rPr>
        <w:t>t</w:t>
      </w:r>
      <w:r w:rsidRPr="00C71B97">
        <w:rPr>
          <w:rFonts w:ascii="Times New Roman" w:hAnsi="Times New Roman" w:cs="Times New Roman"/>
        </w:rPr>
        <w:t xml:space="preserve">, and the later token value </w:t>
      </w:r>
      <w:r w:rsidRPr="00C71B97">
        <w:rPr>
          <w:rFonts w:ascii="Times New Roman" w:hAnsi="Times New Roman" w:cs="Times New Roman"/>
          <w:i/>
          <w:iCs/>
        </w:rPr>
        <w:t>a</w:t>
      </w:r>
      <w:proofErr w:type="spellStart"/>
      <w:r w:rsidRPr="00C71B97">
        <w:rPr>
          <w:rFonts w:ascii="Times New Roman" w:hAnsi="Times New Roman" w:cs="Times New Roman"/>
          <w:i/>
          <w:iCs/>
          <w:position w:val="-6"/>
        </w:rPr>
        <w:t>t</w:t>
      </w:r>
      <w:r w:rsidRPr="00C71B97">
        <w:rPr>
          <w:rFonts w:ascii="Times New Roman" w:hAnsi="Times New Roman" w:cs="Times New Roman"/>
          <w:position w:val="-6"/>
        </w:rPr>
        <w:t>+</w:t>
      </w:r>
      <w:r w:rsidRPr="00C71B97">
        <w:rPr>
          <w:rFonts w:ascii="Times New Roman" w:hAnsi="Times New Roman" w:cs="Times New Roman"/>
          <w:i/>
          <w:iCs/>
          <w:position w:val="-6"/>
        </w:rPr>
        <w:t>k</w:t>
      </w:r>
      <w:proofErr w:type="spellEnd"/>
      <w:r w:rsidRPr="00C71B97">
        <w:rPr>
          <w:rFonts w:ascii="Times New Roman" w:hAnsi="Times New Roman" w:cs="Times New Roman"/>
        </w:rPr>
        <w:t>.</w:t>
      </w:r>
      <w:r w:rsidR="00C71B97" w:rsidRPr="00C71B97">
        <w:rPr>
          <w:rFonts w:ascii="Times New Roman" w:hAnsi="Times New Roman" w:cs="Times New Roman"/>
        </w:rPr>
        <w:t xml:space="preserve"> A</w:t>
      </w:r>
      <w:r w:rsidRPr="00C71B97">
        <w:rPr>
          <w:rFonts w:ascii="Times New Roman" w:hAnsi="Times New Roman" w:cs="Times New Roman"/>
        </w:rPr>
        <w:t xml:space="preserve">s each budget decision was being made, the calendar in the subjects’ screen highlighted the experiment date (in yellow), the sooner date </w:t>
      </w:r>
      <w:r w:rsidRPr="00C71B97">
        <w:rPr>
          <w:rFonts w:ascii="Times New Roman" w:hAnsi="Times New Roman" w:cs="Times New Roman"/>
          <w:i/>
          <w:iCs/>
        </w:rPr>
        <w:t xml:space="preserve">t </w:t>
      </w:r>
      <w:r w:rsidRPr="00C71B97">
        <w:rPr>
          <w:rFonts w:ascii="Times New Roman" w:hAnsi="Times New Roman" w:cs="Times New Roman"/>
        </w:rPr>
        <w:t xml:space="preserve">(in green), and the later date </w:t>
      </w:r>
      <w:r w:rsidRPr="00C71B97">
        <w:rPr>
          <w:rFonts w:ascii="Times New Roman" w:hAnsi="Times New Roman" w:cs="Times New Roman"/>
          <w:i/>
          <w:iCs/>
        </w:rPr>
        <w:t xml:space="preserve">t </w:t>
      </w:r>
      <w:r w:rsidRPr="00C71B97">
        <w:rPr>
          <w:rFonts w:ascii="Times New Roman" w:hAnsi="Times New Roman" w:cs="Times New Roman"/>
        </w:rPr>
        <w:t xml:space="preserve">+ </w:t>
      </w:r>
      <w:r w:rsidRPr="00C71B97">
        <w:rPr>
          <w:rFonts w:ascii="Times New Roman" w:hAnsi="Times New Roman" w:cs="Times New Roman"/>
          <w:i/>
          <w:iCs/>
        </w:rPr>
        <w:t xml:space="preserve">k </w:t>
      </w:r>
      <w:r w:rsidRPr="00C71B97">
        <w:rPr>
          <w:rFonts w:ascii="Times New Roman" w:hAnsi="Times New Roman" w:cs="Times New Roman"/>
        </w:rPr>
        <w:t>(in blue). This allowed subjects to visualize the delay length for a given decision.</w:t>
      </w:r>
    </w:p>
    <w:p w14:paraId="5B3289A6" w14:textId="77777777" w:rsidR="0073609E" w:rsidRDefault="0073609E" w:rsidP="0073609E">
      <w:pPr>
        <w:widowControl w:val="0"/>
        <w:autoSpaceDE w:val="0"/>
        <w:autoSpaceDN w:val="0"/>
        <w:adjustRightInd w:val="0"/>
        <w:spacing w:after="240"/>
        <w:rPr>
          <w:rFonts w:ascii="Times New Roman" w:hAnsi="Times New Roman" w:cs="Times New Roman"/>
        </w:rPr>
      </w:pPr>
      <w:r>
        <w:rPr>
          <w:rFonts w:ascii="Times New Roman" w:hAnsi="Times New Roman" w:cs="Times New Roman"/>
        </w:rPr>
        <w:t>Our adaptation of the task:</w:t>
      </w:r>
    </w:p>
    <w:p w14:paraId="705FA4B7" w14:textId="59DA4D0C" w:rsidR="0073609E" w:rsidRDefault="0073609E" w:rsidP="0073609E">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In our adapted version of the task, participants are faced with 24 decisions in the gains domain (as outlined above) and 24 decisions in the losses domain (total of 48 decisions). In the losses framework, respondents are given an initial endowment of 1600 KSH sooner and 1600 KSH later and are asked to make decisions about allocating varying amounts to a sooner loss and a later loss in the future. Below is an example of the maximum earlier and later allocations that participants will make across three timeframes: 2 weeks from today vs. 4 weeks from today, today vs. 4 weeks from today, and today vs. 2 weeks from today. The losses domain consists of the same amounts and timeframes, with the only difference being that values are shown as negative amounts to indicate </w:t>
      </w:r>
      <w:r w:rsidR="00741FB3">
        <w:rPr>
          <w:rFonts w:ascii="Times New Roman" w:hAnsi="Times New Roman" w:cs="Times New Roman"/>
        </w:rPr>
        <w:t>a loss from the initial endowment of 1600 KSH earlier and 1600 KSH later</w:t>
      </w:r>
      <w:r>
        <w:rPr>
          <w:rFonts w:ascii="Times New Roman" w:hAnsi="Times New Roman" w:cs="Times New Roman"/>
        </w:rPr>
        <w:t>:</w:t>
      </w:r>
    </w:p>
    <w:p w14:paraId="0EAC450E" w14:textId="40747BB8" w:rsidR="005F360B" w:rsidRDefault="00741FB3" w:rsidP="0073609E">
      <w:pPr>
        <w:rPr>
          <w:rFonts w:ascii="Times New Roman" w:hAnsi="Times New Roman" w:cs="Times New Roman"/>
        </w:rPr>
      </w:pPr>
      <w:r w:rsidRPr="00E70855">
        <w:rPr>
          <w:rFonts w:ascii="Times New Roman" w:hAnsi="Times New Roman" w:cs="Times New Roman"/>
          <w:noProof/>
        </w:rPr>
        <w:drawing>
          <wp:inline distT="0" distB="0" distL="0" distR="0" wp14:anchorId="5DE0A86F" wp14:editId="0EAA9074">
            <wp:extent cx="4228948" cy="7086600"/>
            <wp:effectExtent l="0" t="0" r="0" b="0"/>
            <wp:docPr id="4" name="Picture 4" descr="Macintosh HD:Users:kesopo:Desktop:Screen Shot 2016-11-04 at 4.03.1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esopo:Desktop:Screen Shot 2016-11-04 at 4.03.19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294" cy="7087180"/>
                    </a:xfrm>
                    <a:prstGeom prst="rect">
                      <a:avLst/>
                    </a:prstGeom>
                    <a:noFill/>
                    <a:ln>
                      <a:noFill/>
                    </a:ln>
                  </pic:spPr>
                </pic:pic>
              </a:graphicData>
            </a:graphic>
          </wp:inline>
        </w:drawing>
      </w:r>
    </w:p>
    <w:p w14:paraId="64EA579F" w14:textId="77777777" w:rsidR="00D33BC3" w:rsidRDefault="00D33BC3" w:rsidP="0073609E">
      <w:pPr>
        <w:rPr>
          <w:rFonts w:ascii="Times New Roman" w:hAnsi="Times New Roman" w:cs="Times New Roman"/>
        </w:rPr>
      </w:pPr>
    </w:p>
    <w:p w14:paraId="201F7145" w14:textId="77777777" w:rsidR="00C63951" w:rsidRPr="00E70855" w:rsidRDefault="00D33BC3" w:rsidP="0073609E">
      <w:pPr>
        <w:rPr>
          <w:rFonts w:ascii="Times New Roman" w:hAnsi="Times New Roman" w:cs="Times New Roman"/>
          <w:u w:val="single"/>
        </w:rPr>
      </w:pPr>
      <w:r w:rsidRPr="00E70855">
        <w:rPr>
          <w:rFonts w:ascii="Times New Roman" w:hAnsi="Times New Roman" w:cs="Times New Roman"/>
          <w:u w:val="single"/>
        </w:rPr>
        <w:t>Example screenshots from the task:</w:t>
      </w:r>
    </w:p>
    <w:p w14:paraId="0D304921" w14:textId="53606717" w:rsidR="00D33BC3" w:rsidRDefault="00C63951" w:rsidP="0073609E">
      <w:pPr>
        <w:rPr>
          <w:noProof/>
        </w:rPr>
      </w:pPr>
      <w:r w:rsidRPr="00C63951">
        <w:rPr>
          <w:noProof/>
        </w:rPr>
        <w:t xml:space="preserve"> </w:t>
      </w:r>
    </w:p>
    <w:p w14:paraId="02C812FA" w14:textId="508CAD54" w:rsidR="00C63951" w:rsidRPr="00C63951" w:rsidRDefault="00C63951" w:rsidP="0073609E">
      <w:pPr>
        <w:rPr>
          <w:rFonts w:ascii="Times New Roman" w:hAnsi="Times New Roman" w:cs="Times New Roman"/>
        </w:rPr>
      </w:pPr>
      <w:r w:rsidRPr="00C63951">
        <w:rPr>
          <w:noProof/>
        </w:rPr>
        <w:t>Instructions screen</w:t>
      </w:r>
    </w:p>
    <w:p w14:paraId="10722CB7" w14:textId="578B07CC" w:rsidR="00C63951" w:rsidRDefault="00C63951" w:rsidP="0073609E">
      <w:pPr>
        <w:rPr>
          <w:rFonts w:ascii="Times New Roman" w:hAnsi="Times New Roman" w:cs="Times New Roman"/>
        </w:rPr>
      </w:pPr>
      <w:r>
        <w:rPr>
          <w:noProof/>
        </w:rPr>
        <w:drawing>
          <wp:anchor distT="0" distB="0" distL="114300" distR="114300" simplePos="0" relativeHeight="251658240" behindDoc="0" locked="0" layoutInCell="1" allowOverlap="1" wp14:anchorId="2A46B2A5" wp14:editId="6689D7B7">
            <wp:simplePos x="0" y="0"/>
            <wp:positionH relativeFrom="column">
              <wp:posOffset>0</wp:posOffset>
            </wp:positionH>
            <wp:positionV relativeFrom="paragraph">
              <wp:posOffset>153035</wp:posOffset>
            </wp:positionV>
            <wp:extent cx="4988560" cy="2743200"/>
            <wp:effectExtent l="0" t="0" r="0" b="0"/>
            <wp:wrapSquare wrapText="bothSides"/>
            <wp:docPr id="2" name="Picture 2" descr="Screen Shot 2016-09-26 at 2.18.18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2.18.18 PM.png"/>
                    <pic:cNvPicPr>
                      <a:picLocks noGrp="1" noChangeAspect="1"/>
                    </pic:cNvPicPr>
                  </pic:nvPicPr>
                  <pic:blipFill>
                    <a:blip r:embed="rId7">
                      <a:extLst>
                        <a:ext uri="{28A0092B-C50C-407E-A947-70E740481C1C}">
                          <a14:useLocalDpi xmlns:a14="http://schemas.microsoft.com/office/drawing/2010/main" val="0"/>
                        </a:ext>
                      </a:extLst>
                    </a:blip>
                    <a:srcRect t="3712" b="3712"/>
                    <a:stretch>
                      <a:fillRect/>
                    </a:stretch>
                  </pic:blipFill>
                  <pic:spPr>
                    <a:xfrm>
                      <a:off x="0" y="0"/>
                      <a:ext cx="4988560" cy="27432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C63951">
        <w:rPr>
          <w:noProof/>
        </w:rPr>
        <w:t xml:space="preserve"> </w:t>
      </w:r>
    </w:p>
    <w:p w14:paraId="1AB31056" w14:textId="77777777" w:rsidR="00C63951" w:rsidRDefault="00C63951" w:rsidP="00C63951">
      <w:pPr>
        <w:rPr>
          <w:rFonts w:ascii="Times New Roman" w:hAnsi="Times New Roman" w:cs="Times New Roman"/>
        </w:rPr>
      </w:pPr>
    </w:p>
    <w:p w14:paraId="62867D7F" w14:textId="77777777" w:rsidR="00C63951" w:rsidRDefault="00C63951" w:rsidP="00C63951">
      <w:pPr>
        <w:rPr>
          <w:rFonts w:ascii="Times New Roman" w:hAnsi="Times New Roman" w:cs="Times New Roman"/>
        </w:rPr>
      </w:pPr>
    </w:p>
    <w:p w14:paraId="5C894B33" w14:textId="77777777" w:rsidR="00C63951" w:rsidRDefault="00C63951" w:rsidP="00C63951">
      <w:pPr>
        <w:rPr>
          <w:rFonts w:ascii="Times New Roman" w:hAnsi="Times New Roman" w:cs="Times New Roman"/>
        </w:rPr>
      </w:pPr>
    </w:p>
    <w:p w14:paraId="1A16CA1B" w14:textId="77777777" w:rsidR="00C63951" w:rsidRDefault="00C63951" w:rsidP="00C63951">
      <w:pPr>
        <w:rPr>
          <w:rFonts w:ascii="Times New Roman" w:hAnsi="Times New Roman" w:cs="Times New Roman"/>
        </w:rPr>
      </w:pPr>
    </w:p>
    <w:p w14:paraId="77543AD5" w14:textId="77777777" w:rsidR="00C63951" w:rsidRDefault="00C63951" w:rsidP="00C63951">
      <w:pPr>
        <w:rPr>
          <w:rFonts w:ascii="Times New Roman" w:hAnsi="Times New Roman" w:cs="Times New Roman"/>
        </w:rPr>
      </w:pPr>
    </w:p>
    <w:p w14:paraId="7561F317" w14:textId="77777777" w:rsidR="00C63951" w:rsidRDefault="00C63951" w:rsidP="00C63951">
      <w:pPr>
        <w:rPr>
          <w:rFonts w:ascii="Times New Roman" w:hAnsi="Times New Roman" w:cs="Times New Roman"/>
        </w:rPr>
      </w:pPr>
    </w:p>
    <w:p w14:paraId="49B7A0FB" w14:textId="77777777" w:rsidR="00C63951" w:rsidRDefault="00C63951" w:rsidP="00C63951">
      <w:pPr>
        <w:rPr>
          <w:rFonts w:ascii="Times New Roman" w:hAnsi="Times New Roman" w:cs="Times New Roman"/>
        </w:rPr>
      </w:pPr>
    </w:p>
    <w:p w14:paraId="24A79F1E" w14:textId="77777777" w:rsidR="00C63951" w:rsidRDefault="00C63951" w:rsidP="00C63951">
      <w:pPr>
        <w:rPr>
          <w:rFonts w:ascii="Times New Roman" w:hAnsi="Times New Roman" w:cs="Times New Roman"/>
        </w:rPr>
      </w:pPr>
    </w:p>
    <w:p w14:paraId="4D9004E2" w14:textId="77777777" w:rsidR="00C63951" w:rsidRDefault="00C63951" w:rsidP="00C63951">
      <w:pPr>
        <w:rPr>
          <w:rFonts w:ascii="Times New Roman" w:hAnsi="Times New Roman" w:cs="Times New Roman"/>
        </w:rPr>
      </w:pPr>
    </w:p>
    <w:p w14:paraId="29183AC7" w14:textId="77777777" w:rsidR="00C63951" w:rsidRDefault="00C63951" w:rsidP="00C63951">
      <w:pPr>
        <w:rPr>
          <w:rFonts w:ascii="Times New Roman" w:hAnsi="Times New Roman" w:cs="Times New Roman"/>
        </w:rPr>
      </w:pPr>
    </w:p>
    <w:p w14:paraId="2193B49E" w14:textId="77777777" w:rsidR="00C63951" w:rsidRDefault="00C63951" w:rsidP="00C63951">
      <w:pPr>
        <w:rPr>
          <w:rFonts w:ascii="Times New Roman" w:hAnsi="Times New Roman" w:cs="Times New Roman"/>
        </w:rPr>
      </w:pPr>
    </w:p>
    <w:p w14:paraId="3A84E073" w14:textId="77777777" w:rsidR="00C63951" w:rsidRDefault="00C63951" w:rsidP="00C63951">
      <w:pPr>
        <w:rPr>
          <w:rFonts w:ascii="Times New Roman" w:hAnsi="Times New Roman" w:cs="Times New Roman"/>
        </w:rPr>
      </w:pPr>
    </w:p>
    <w:p w14:paraId="16A36775" w14:textId="77777777" w:rsidR="00C63951" w:rsidRDefault="00C63951" w:rsidP="00C63951">
      <w:pPr>
        <w:rPr>
          <w:rFonts w:ascii="Times New Roman" w:hAnsi="Times New Roman" w:cs="Times New Roman"/>
        </w:rPr>
      </w:pPr>
    </w:p>
    <w:p w14:paraId="15C4B884" w14:textId="77777777" w:rsidR="00C63951" w:rsidRDefault="00C63951" w:rsidP="00C63951">
      <w:pPr>
        <w:rPr>
          <w:rFonts w:ascii="Times New Roman" w:hAnsi="Times New Roman" w:cs="Times New Roman"/>
        </w:rPr>
      </w:pPr>
    </w:p>
    <w:p w14:paraId="36E75E98" w14:textId="77777777" w:rsidR="00C63951" w:rsidRDefault="00C63951" w:rsidP="00C63951">
      <w:pPr>
        <w:rPr>
          <w:rFonts w:ascii="Times New Roman" w:hAnsi="Times New Roman" w:cs="Times New Roman"/>
        </w:rPr>
      </w:pPr>
    </w:p>
    <w:p w14:paraId="6524C15C" w14:textId="77777777" w:rsidR="00C63951" w:rsidRDefault="00C63951" w:rsidP="00C63951">
      <w:pPr>
        <w:rPr>
          <w:rFonts w:ascii="Times New Roman" w:hAnsi="Times New Roman" w:cs="Times New Roman"/>
        </w:rPr>
      </w:pPr>
    </w:p>
    <w:p w14:paraId="78F47AF5" w14:textId="77777777" w:rsidR="00C63951" w:rsidRDefault="00C63951" w:rsidP="00C63951">
      <w:pPr>
        <w:rPr>
          <w:rFonts w:ascii="Times New Roman" w:hAnsi="Times New Roman" w:cs="Times New Roman"/>
        </w:rPr>
      </w:pPr>
    </w:p>
    <w:p w14:paraId="2540D3DD" w14:textId="7801B06C" w:rsidR="00C63951" w:rsidRDefault="00C63951" w:rsidP="00C63951">
      <w:pPr>
        <w:rPr>
          <w:rFonts w:ascii="Times New Roman" w:hAnsi="Times New Roman" w:cs="Times New Roman"/>
        </w:rPr>
      </w:pPr>
      <w:r>
        <w:rPr>
          <w:rFonts w:ascii="Times New Roman" w:hAnsi="Times New Roman" w:cs="Times New Roman"/>
        </w:rPr>
        <w:t>Gains screen (Decision 1)</w:t>
      </w:r>
    </w:p>
    <w:p w14:paraId="7FF47062" w14:textId="77777777" w:rsidR="00C63951" w:rsidRPr="00C63951" w:rsidRDefault="00C63951" w:rsidP="00C63951">
      <w:pPr>
        <w:rPr>
          <w:rFonts w:ascii="Times New Roman" w:hAnsi="Times New Roman" w:cs="Times New Roman"/>
        </w:rPr>
      </w:pPr>
    </w:p>
    <w:p w14:paraId="0E4BCE1A" w14:textId="66FC6B67" w:rsidR="00C63951" w:rsidRPr="00C63951" w:rsidRDefault="00C63951" w:rsidP="00C63951">
      <w:pPr>
        <w:rPr>
          <w:rFonts w:ascii="Times New Roman" w:hAnsi="Times New Roman" w:cs="Times New Roman"/>
        </w:rPr>
      </w:pPr>
      <w:r>
        <w:rPr>
          <w:noProof/>
        </w:rPr>
        <w:drawing>
          <wp:anchor distT="0" distB="0" distL="114300" distR="114300" simplePos="0" relativeHeight="251659264" behindDoc="0" locked="0" layoutInCell="1" allowOverlap="1" wp14:anchorId="5A1ACA37" wp14:editId="7CB1416E">
            <wp:simplePos x="0" y="0"/>
            <wp:positionH relativeFrom="column">
              <wp:posOffset>0</wp:posOffset>
            </wp:positionH>
            <wp:positionV relativeFrom="paragraph">
              <wp:posOffset>24130</wp:posOffset>
            </wp:positionV>
            <wp:extent cx="5126990" cy="2819400"/>
            <wp:effectExtent l="0" t="0" r="3810" b="0"/>
            <wp:wrapTight wrapText="bothSides">
              <wp:wrapPolygon edited="0">
                <wp:start x="0" y="0"/>
                <wp:lineTo x="0" y="21405"/>
                <wp:lineTo x="21509" y="21405"/>
                <wp:lineTo x="21509" y="0"/>
                <wp:lineTo x="0" y="0"/>
              </wp:wrapPolygon>
            </wp:wrapTight>
            <wp:docPr id="5" name="Content Placeholder 3" descr="Screen Shot 2016-09-26 at 2.42.02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2.42.02 PM.png"/>
                    <pic:cNvPicPr>
                      <a:picLocks noGrp="1" noChangeAspect="1"/>
                    </pic:cNvPicPr>
                  </pic:nvPicPr>
                  <pic:blipFill>
                    <a:blip r:embed="rId8">
                      <a:extLst>
                        <a:ext uri="{28A0092B-C50C-407E-A947-70E740481C1C}">
                          <a14:useLocalDpi xmlns:a14="http://schemas.microsoft.com/office/drawing/2010/main" val="0"/>
                        </a:ext>
                      </a:extLst>
                    </a:blip>
                    <a:srcRect t="3039" b="3039"/>
                    <a:stretch>
                      <a:fillRect/>
                    </a:stretch>
                  </pic:blipFill>
                  <pic:spPr>
                    <a:xfrm>
                      <a:off x="0" y="0"/>
                      <a:ext cx="5126990" cy="2819400"/>
                    </a:xfrm>
                    <a:prstGeom prst="rect">
                      <a:avLst/>
                    </a:prstGeom>
                  </pic:spPr>
                </pic:pic>
              </a:graphicData>
            </a:graphic>
            <wp14:sizeRelH relativeFrom="page">
              <wp14:pctWidth>0</wp14:pctWidth>
            </wp14:sizeRelH>
            <wp14:sizeRelV relativeFrom="page">
              <wp14:pctHeight>0</wp14:pctHeight>
            </wp14:sizeRelV>
          </wp:anchor>
        </w:drawing>
      </w:r>
    </w:p>
    <w:p w14:paraId="47D85720" w14:textId="77777777" w:rsidR="00C63951" w:rsidRPr="00E70855" w:rsidRDefault="00C63951" w:rsidP="00E70855">
      <w:pPr>
        <w:rPr>
          <w:rFonts w:ascii="Times New Roman" w:hAnsi="Times New Roman" w:cs="Times New Roman"/>
        </w:rPr>
      </w:pPr>
    </w:p>
    <w:p w14:paraId="176ADA6F" w14:textId="77777777" w:rsidR="00C63951" w:rsidRPr="00E70855" w:rsidRDefault="00C63951" w:rsidP="00E70855">
      <w:pPr>
        <w:rPr>
          <w:rFonts w:ascii="Times New Roman" w:hAnsi="Times New Roman" w:cs="Times New Roman"/>
        </w:rPr>
      </w:pPr>
    </w:p>
    <w:p w14:paraId="3C7C274F" w14:textId="77777777" w:rsidR="00C63951" w:rsidRPr="00E70855" w:rsidRDefault="00C63951" w:rsidP="00E70855">
      <w:pPr>
        <w:rPr>
          <w:rFonts w:ascii="Times New Roman" w:hAnsi="Times New Roman" w:cs="Times New Roman"/>
        </w:rPr>
      </w:pPr>
    </w:p>
    <w:p w14:paraId="5999702B" w14:textId="77777777" w:rsidR="00C63951" w:rsidRPr="00E70855" w:rsidRDefault="00C63951" w:rsidP="00E70855">
      <w:pPr>
        <w:rPr>
          <w:rFonts w:ascii="Times New Roman" w:hAnsi="Times New Roman" w:cs="Times New Roman"/>
        </w:rPr>
      </w:pPr>
    </w:p>
    <w:p w14:paraId="037697FD" w14:textId="77777777" w:rsidR="00C63951" w:rsidRPr="00E70855" w:rsidRDefault="00C63951" w:rsidP="00E70855">
      <w:pPr>
        <w:rPr>
          <w:rFonts w:ascii="Times New Roman" w:hAnsi="Times New Roman" w:cs="Times New Roman"/>
        </w:rPr>
      </w:pPr>
    </w:p>
    <w:p w14:paraId="112B7421" w14:textId="37281232" w:rsidR="00C63951" w:rsidRDefault="00C63951" w:rsidP="00C63951">
      <w:pPr>
        <w:rPr>
          <w:rFonts w:ascii="Times New Roman" w:hAnsi="Times New Roman" w:cs="Times New Roman"/>
        </w:rPr>
      </w:pPr>
    </w:p>
    <w:p w14:paraId="1D103A59" w14:textId="77777777" w:rsidR="00C63951" w:rsidRPr="00C63951" w:rsidRDefault="00C63951" w:rsidP="00C63951">
      <w:pPr>
        <w:rPr>
          <w:rFonts w:ascii="Times New Roman" w:hAnsi="Times New Roman" w:cs="Times New Roman"/>
        </w:rPr>
      </w:pPr>
    </w:p>
    <w:p w14:paraId="649D7953" w14:textId="77777777" w:rsidR="00C63951" w:rsidRPr="00E70855" w:rsidRDefault="00C63951" w:rsidP="00E70855">
      <w:pPr>
        <w:rPr>
          <w:rFonts w:ascii="Times New Roman" w:hAnsi="Times New Roman" w:cs="Times New Roman"/>
        </w:rPr>
      </w:pPr>
    </w:p>
    <w:p w14:paraId="4075E250" w14:textId="77777777" w:rsidR="00C63951" w:rsidRPr="00E70855" w:rsidRDefault="00C63951" w:rsidP="00E70855">
      <w:pPr>
        <w:rPr>
          <w:rFonts w:ascii="Times New Roman" w:hAnsi="Times New Roman" w:cs="Times New Roman"/>
        </w:rPr>
      </w:pPr>
    </w:p>
    <w:p w14:paraId="63D21190" w14:textId="77777777" w:rsidR="00C63951" w:rsidRPr="00E70855" w:rsidRDefault="00C63951" w:rsidP="00E70855">
      <w:pPr>
        <w:rPr>
          <w:rFonts w:ascii="Times New Roman" w:hAnsi="Times New Roman" w:cs="Times New Roman"/>
        </w:rPr>
      </w:pPr>
    </w:p>
    <w:p w14:paraId="3DAEDBEE" w14:textId="77777777" w:rsidR="00C63951" w:rsidRPr="00E70855" w:rsidRDefault="00C63951" w:rsidP="00E70855">
      <w:pPr>
        <w:rPr>
          <w:rFonts w:ascii="Times New Roman" w:hAnsi="Times New Roman" w:cs="Times New Roman"/>
        </w:rPr>
      </w:pPr>
    </w:p>
    <w:p w14:paraId="16CB4ADE" w14:textId="77777777" w:rsidR="00C63951" w:rsidRPr="00E70855" w:rsidRDefault="00C63951" w:rsidP="00E70855">
      <w:pPr>
        <w:rPr>
          <w:rFonts w:ascii="Times New Roman" w:hAnsi="Times New Roman" w:cs="Times New Roman"/>
        </w:rPr>
      </w:pPr>
    </w:p>
    <w:p w14:paraId="011E34EB" w14:textId="77777777" w:rsidR="00C63951" w:rsidRPr="00E70855" w:rsidRDefault="00C63951" w:rsidP="00E70855">
      <w:pPr>
        <w:rPr>
          <w:rFonts w:ascii="Times New Roman" w:hAnsi="Times New Roman" w:cs="Times New Roman"/>
        </w:rPr>
      </w:pPr>
    </w:p>
    <w:p w14:paraId="11D96798" w14:textId="77777777" w:rsidR="00C63951" w:rsidRPr="00E70855" w:rsidRDefault="00C63951" w:rsidP="00E70855">
      <w:pPr>
        <w:rPr>
          <w:rFonts w:ascii="Times New Roman" w:hAnsi="Times New Roman" w:cs="Times New Roman"/>
        </w:rPr>
      </w:pPr>
    </w:p>
    <w:p w14:paraId="1A1461A1" w14:textId="77777777" w:rsidR="00C63951" w:rsidRPr="00E70855" w:rsidRDefault="00C63951" w:rsidP="00E70855">
      <w:pPr>
        <w:rPr>
          <w:rFonts w:ascii="Times New Roman" w:hAnsi="Times New Roman" w:cs="Times New Roman"/>
        </w:rPr>
      </w:pPr>
    </w:p>
    <w:p w14:paraId="56F6FD92" w14:textId="77777777" w:rsidR="00C63951" w:rsidRPr="00E70855" w:rsidRDefault="00C63951" w:rsidP="00E70855">
      <w:pPr>
        <w:rPr>
          <w:rFonts w:ascii="Times New Roman" w:hAnsi="Times New Roman" w:cs="Times New Roman"/>
        </w:rPr>
      </w:pPr>
    </w:p>
    <w:p w14:paraId="018E06E1" w14:textId="77777777" w:rsidR="00C63951" w:rsidRPr="00E70855" w:rsidRDefault="00C63951" w:rsidP="00E70855">
      <w:pPr>
        <w:rPr>
          <w:rFonts w:ascii="Times New Roman" w:hAnsi="Times New Roman" w:cs="Times New Roman"/>
        </w:rPr>
      </w:pPr>
    </w:p>
    <w:p w14:paraId="6DD58CDB" w14:textId="77777777" w:rsidR="00C63951" w:rsidRPr="00E70855" w:rsidRDefault="00C63951" w:rsidP="00E70855">
      <w:pPr>
        <w:rPr>
          <w:rFonts w:ascii="Times New Roman" w:hAnsi="Times New Roman" w:cs="Times New Roman"/>
        </w:rPr>
      </w:pPr>
    </w:p>
    <w:p w14:paraId="174EDE1C" w14:textId="34899B68" w:rsidR="00C63951" w:rsidRDefault="00C63951" w:rsidP="00C63951">
      <w:pPr>
        <w:rPr>
          <w:rFonts w:ascii="Times New Roman" w:hAnsi="Times New Roman" w:cs="Times New Roman"/>
        </w:rPr>
      </w:pPr>
    </w:p>
    <w:p w14:paraId="1E1BA359" w14:textId="7A2F22E5" w:rsidR="00C63951" w:rsidRDefault="00C63951">
      <w:pPr>
        <w:rPr>
          <w:rFonts w:ascii="Times New Roman" w:hAnsi="Times New Roman" w:cs="Times New Roman"/>
        </w:rPr>
      </w:pPr>
      <w:r>
        <w:rPr>
          <w:rFonts w:ascii="Times New Roman" w:hAnsi="Times New Roman" w:cs="Times New Roman"/>
        </w:rPr>
        <w:br w:type="page"/>
      </w:r>
    </w:p>
    <w:p w14:paraId="7D5AAD30" w14:textId="1F6D6501" w:rsidR="00C63951" w:rsidRPr="00C63951" w:rsidRDefault="00C63951" w:rsidP="00E70855">
      <w:pPr>
        <w:tabs>
          <w:tab w:val="left" w:pos="1540"/>
        </w:tabs>
        <w:rPr>
          <w:rFonts w:ascii="Times New Roman" w:hAnsi="Times New Roman" w:cs="Times New Roman"/>
        </w:rPr>
      </w:pPr>
      <w:bookmarkStart w:id="0" w:name="_GoBack"/>
      <w:r>
        <w:rPr>
          <w:rFonts w:ascii="Times New Roman" w:hAnsi="Times New Roman" w:cs="Times New Roman"/>
        </w:rPr>
        <w:t>Losses screen (Decision 1)</w:t>
      </w:r>
    </w:p>
    <w:bookmarkEnd w:id="0"/>
    <w:p w14:paraId="3AD01620" w14:textId="0BB6FE98" w:rsidR="00D33BC3" w:rsidRPr="00C63951" w:rsidRDefault="00C63951" w:rsidP="00C63951">
      <w:pPr>
        <w:rPr>
          <w:rFonts w:ascii="Times New Roman" w:hAnsi="Times New Roman" w:cs="Times New Roman"/>
        </w:rPr>
      </w:pPr>
      <w:r>
        <w:rPr>
          <w:noProof/>
        </w:rPr>
        <w:drawing>
          <wp:inline distT="0" distB="0" distL="0" distR="0" wp14:anchorId="0651CCC3" wp14:editId="0B290985">
            <wp:extent cx="5081069" cy="2794000"/>
            <wp:effectExtent l="0" t="0" r="0" b="0"/>
            <wp:docPr id="3" name="Content Placeholder 3" descr="Screen Shot 2016-09-26 at 2.18.39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2.18.39 PM.png"/>
                    <pic:cNvPicPr>
                      <a:picLocks noGrp="1" noChangeAspect="1"/>
                    </pic:cNvPicPr>
                  </pic:nvPicPr>
                  <pic:blipFill>
                    <a:blip r:embed="rId9">
                      <a:extLst>
                        <a:ext uri="{28A0092B-C50C-407E-A947-70E740481C1C}">
                          <a14:useLocalDpi xmlns:a14="http://schemas.microsoft.com/office/drawing/2010/main" val="0"/>
                        </a:ext>
                      </a:extLst>
                    </a:blip>
                    <a:srcRect t="4725" b="4725"/>
                    <a:stretch>
                      <a:fillRect/>
                    </a:stretch>
                  </pic:blipFill>
                  <pic:spPr>
                    <a:xfrm>
                      <a:off x="0" y="0"/>
                      <a:ext cx="5081069" cy="2794000"/>
                    </a:xfrm>
                    <a:prstGeom prst="rect">
                      <a:avLst/>
                    </a:prstGeom>
                  </pic:spPr>
                </pic:pic>
              </a:graphicData>
            </a:graphic>
          </wp:inline>
        </w:drawing>
      </w:r>
    </w:p>
    <w:sectPr w:rsidR="00D33BC3" w:rsidRPr="00C63951" w:rsidSect="0073609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11"/>
    <w:rsid w:val="001E010D"/>
    <w:rsid w:val="003C4F04"/>
    <w:rsid w:val="005F360B"/>
    <w:rsid w:val="0073609E"/>
    <w:rsid w:val="00741FB3"/>
    <w:rsid w:val="009B2BC1"/>
    <w:rsid w:val="00C63951"/>
    <w:rsid w:val="00C71B97"/>
    <w:rsid w:val="00D33BC3"/>
    <w:rsid w:val="00E57F11"/>
    <w:rsid w:val="00E7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660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F11"/>
    <w:rPr>
      <w:rFonts w:ascii="Lucida Grande" w:hAnsi="Lucida Grande" w:cs="Lucida Grande"/>
      <w:sz w:val="18"/>
      <w:szCs w:val="18"/>
    </w:rPr>
  </w:style>
  <w:style w:type="paragraph" w:styleId="NoSpacing">
    <w:name w:val="No Spacing"/>
    <w:uiPriority w:val="1"/>
    <w:qFormat/>
    <w:rsid w:val="00C71B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F11"/>
    <w:rPr>
      <w:rFonts w:ascii="Lucida Grande" w:hAnsi="Lucida Grande" w:cs="Lucida Grande"/>
      <w:sz w:val="18"/>
      <w:szCs w:val="18"/>
    </w:rPr>
  </w:style>
  <w:style w:type="paragraph" w:styleId="NoSpacing">
    <w:name w:val="No Spacing"/>
    <w:uiPriority w:val="1"/>
    <w:qFormat/>
    <w:rsid w:val="00C7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9157">
      <w:bodyDiv w:val="1"/>
      <w:marLeft w:val="0"/>
      <w:marRight w:val="0"/>
      <w:marTop w:val="0"/>
      <w:marBottom w:val="0"/>
      <w:divBdr>
        <w:top w:val="none" w:sz="0" w:space="0" w:color="auto"/>
        <w:left w:val="none" w:sz="0" w:space="0" w:color="auto"/>
        <w:bottom w:val="none" w:sz="0" w:space="0" w:color="auto"/>
        <w:right w:val="none" w:sz="0" w:space="0" w:color="auto"/>
      </w:divBdr>
      <w:divsChild>
        <w:div w:id="330724178">
          <w:marLeft w:val="0"/>
          <w:marRight w:val="0"/>
          <w:marTop w:val="0"/>
          <w:marBottom w:val="0"/>
          <w:divBdr>
            <w:top w:val="none" w:sz="0" w:space="0" w:color="auto"/>
            <w:left w:val="none" w:sz="0" w:space="0" w:color="auto"/>
            <w:bottom w:val="none" w:sz="0" w:space="0" w:color="auto"/>
            <w:right w:val="none" w:sz="0" w:space="0" w:color="auto"/>
          </w:divBdr>
          <w:divsChild>
            <w:div w:id="504562278">
              <w:marLeft w:val="0"/>
              <w:marRight w:val="0"/>
              <w:marTop w:val="0"/>
              <w:marBottom w:val="0"/>
              <w:divBdr>
                <w:top w:val="none" w:sz="0" w:space="0" w:color="auto"/>
                <w:left w:val="none" w:sz="0" w:space="0" w:color="auto"/>
                <w:bottom w:val="none" w:sz="0" w:space="0" w:color="auto"/>
                <w:right w:val="none" w:sz="0" w:space="0" w:color="auto"/>
              </w:divBdr>
              <w:divsChild>
                <w:div w:id="2103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8054">
      <w:bodyDiv w:val="1"/>
      <w:marLeft w:val="0"/>
      <w:marRight w:val="0"/>
      <w:marTop w:val="0"/>
      <w:marBottom w:val="0"/>
      <w:divBdr>
        <w:top w:val="none" w:sz="0" w:space="0" w:color="auto"/>
        <w:left w:val="none" w:sz="0" w:space="0" w:color="auto"/>
        <w:bottom w:val="none" w:sz="0" w:space="0" w:color="auto"/>
        <w:right w:val="none" w:sz="0" w:space="0" w:color="auto"/>
      </w:divBdr>
      <w:divsChild>
        <w:div w:id="366879511">
          <w:marLeft w:val="0"/>
          <w:marRight w:val="0"/>
          <w:marTop w:val="0"/>
          <w:marBottom w:val="0"/>
          <w:divBdr>
            <w:top w:val="none" w:sz="0" w:space="0" w:color="auto"/>
            <w:left w:val="none" w:sz="0" w:space="0" w:color="auto"/>
            <w:bottom w:val="none" w:sz="0" w:space="0" w:color="auto"/>
            <w:right w:val="none" w:sz="0" w:space="0" w:color="auto"/>
          </w:divBdr>
          <w:divsChild>
            <w:div w:id="427386721">
              <w:marLeft w:val="0"/>
              <w:marRight w:val="0"/>
              <w:marTop w:val="0"/>
              <w:marBottom w:val="0"/>
              <w:divBdr>
                <w:top w:val="none" w:sz="0" w:space="0" w:color="auto"/>
                <w:left w:val="none" w:sz="0" w:space="0" w:color="auto"/>
                <w:bottom w:val="none" w:sz="0" w:space="0" w:color="auto"/>
                <w:right w:val="none" w:sz="0" w:space="0" w:color="auto"/>
              </w:divBdr>
              <w:divsChild>
                <w:div w:id="17177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1539">
      <w:bodyDiv w:val="1"/>
      <w:marLeft w:val="0"/>
      <w:marRight w:val="0"/>
      <w:marTop w:val="0"/>
      <w:marBottom w:val="0"/>
      <w:divBdr>
        <w:top w:val="none" w:sz="0" w:space="0" w:color="auto"/>
        <w:left w:val="none" w:sz="0" w:space="0" w:color="auto"/>
        <w:bottom w:val="none" w:sz="0" w:space="0" w:color="auto"/>
        <w:right w:val="none" w:sz="0" w:space="0" w:color="auto"/>
      </w:divBdr>
      <w:divsChild>
        <w:div w:id="1890678584">
          <w:marLeft w:val="0"/>
          <w:marRight w:val="0"/>
          <w:marTop w:val="0"/>
          <w:marBottom w:val="0"/>
          <w:divBdr>
            <w:top w:val="none" w:sz="0" w:space="0" w:color="auto"/>
            <w:left w:val="none" w:sz="0" w:space="0" w:color="auto"/>
            <w:bottom w:val="none" w:sz="0" w:space="0" w:color="auto"/>
            <w:right w:val="none" w:sz="0" w:space="0" w:color="auto"/>
          </w:divBdr>
          <w:divsChild>
            <w:div w:id="1377391658">
              <w:marLeft w:val="0"/>
              <w:marRight w:val="0"/>
              <w:marTop w:val="0"/>
              <w:marBottom w:val="0"/>
              <w:divBdr>
                <w:top w:val="none" w:sz="0" w:space="0" w:color="auto"/>
                <w:left w:val="none" w:sz="0" w:space="0" w:color="auto"/>
                <w:bottom w:val="none" w:sz="0" w:space="0" w:color="auto"/>
                <w:right w:val="none" w:sz="0" w:space="0" w:color="auto"/>
              </w:divBdr>
              <w:divsChild>
                <w:div w:id="3937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94">
      <w:bodyDiv w:val="1"/>
      <w:marLeft w:val="0"/>
      <w:marRight w:val="0"/>
      <w:marTop w:val="0"/>
      <w:marBottom w:val="0"/>
      <w:divBdr>
        <w:top w:val="none" w:sz="0" w:space="0" w:color="auto"/>
        <w:left w:val="none" w:sz="0" w:space="0" w:color="auto"/>
        <w:bottom w:val="none" w:sz="0" w:space="0" w:color="auto"/>
        <w:right w:val="none" w:sz="0" w:space="0" w:color="auto"/>
      </w:divBdr>
      <w:divsChild>
        <w:div w:id="1891114339">
          <w:marLeft w:val="0"/>
          <w:marRight w:val="0"/>
          <w:marTop w:val="0"/>
          <w:marBottom w:val="0"/>
          <w:divBdr>
            <w:top w:val="none" w:sz="0" w:space="0" w:color="auto"/>
            <w:left w:val="none" w:sz="0" w:space="0" w:color="auto"/>
            <w:bottom w:val="none" w:sz="0" w:space="0" w:color="auto"/>
            <w:right w:val="none" w:sz="0" w:space="0" w:color="auto"/>
          </w:divBdr>
          <w:divsChild>
            <w:div w:id="363092608">
              <w:marLeft w:val="0"/>
              <w:marRight w:val="0"/>
              <w:marTop w:val="0"/>
              <w:marBottom w:val="0"/>
              <w:divBdr>
                <w:top w:val="none" w:sz="0" w:space="0" w:color="auto"/>
                <w:left w:val="none" w:sz="0" w:space="0" w:color="auto"/>
                <w:bottom w:val="none" w:sz="0" w:space="0" w:color="auto"/>
                <w:right w:val="none" w:sz="0" w:space="0" w:color="auto"/>
              </w:divBdr>
              <w:divsChild>
                <w:div w:id="204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3294">
      <w:bodyDiv w:val="1"/>
      <w:marLeft w:val="0"/>
      <w:marRight w:val="0"/>
      <w:marTop w:val="0"/>
      <w:marBottom w:val="0"/>
      <w:divBdr>
        <w:top w:val="none" w:sz="0" w:space="0" w:color="auto"/>
        <w:left w:val="none" w:sz="0" w:space="0" w:color="auto"/>
        <w:bottom w:val="none" w:sz="0" w:space="0" w:color="auto"/>
        <w:right w:val="none" w:sz="0" w:space="0" w:color="auto"/>
      </w:divBdr>
      <w:divsChild>
        <w:div w:id="1432815045">
          <w:marLeft w:val="0"/>
          <w:marRight w:val="0"/>
          <w:marTop w:val="0"/>
          <w:marBottom w:val="0"/>
          <w:divBdr>
            <w:top w:val="none" w:sz="0" w:space="0" w:color="auto"/>
            <w:left w:val="none" w:sz="0" w:space="0" w:color="auto"/>
            <w:bottom w:val="none" w:sz="0" w:space="0" w:color="auto"/>
            <w:right w:val="none" w:sz="0" w:space="0" w:color="auto"/>
          </w:divBdr>
          <w:divsChild>
            <w:div w:id="2122022830">
              <w:marLeft w:val="0"/>
              <w:marRight w:val="0"/>
              <w:marTop w:val="0"/>
              <w:marBottom w:val="0"/>
              <w:divBdr>
                <w:top w:val="none" w:sz="0" w:space="0" w:color="auto"/>
                <w:left w:val="none" w:sz="0" w:space="0" w:color="auto"/>
                <w:bottom w:val="none" w:sz="0" w:space="0" w:color="auto"/>
                <w:right w:val="none" w:sz="0" w:space="0" w:color="auto"/>
              </w:divBdr>
              <w:divsChild>
                <w:div w:id="19805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0239">
      <w:bodyDiv w:val="1"/>
      <w:marLeft w:val="0"/>
      <w:marRight w:val="0"/>
      <w:marTop w:val="0"/>
      <w:marBottom w:val="0"/>
      <w:divBdr>
        <w:top w:val="none" w:sz="0" w:space="0" w:color="auto"/>
        <w:left w:val="none" w:sz="0" w:space="0" w:color="auto"/>
        <w:bottom w:val="none" w:sz="0" w:space="0" w:color="auto"/>
        <w:right w:val="none" w:sz="0" w:space="0" w:color="auto"/>
      </w:divBdr>
      <w:divsChild>
        <w:div w:id="1125392272">
          <w:marLeft w:val="0"/>
          <w:marRight w:val="0"/>
          <w:marTop w:val="0"/>
          <w:marBottom w:val="0"/>
          <w:divBdr>
            <w:top w:val="none" w:sz="0" w:space="0" w:color="auto"/>
            <w:left w:val="none" w:sz="0" w:space="0" w:color="auto"/>
            <w:bottom w:val="none" w:sz="0" w:space="0" w:color="auto"/>
            <w:right w:val="none" w:sz="0" w:space="0" w:color="auto"/>
          </w:divBdr>
          <w:divsChild>
            <w:div w:id="1780296161">
              <w:marLeft w:val="0"/>
              <w:marRight w:val="0"/>
              <w:marTop w:val="0"/>
              <w:marBottom w:val="0"/>
              <w:divBdr>
                <w:top w:val="none" w:sz="0" w:space="0" w:color="auto"/>
                <w:left w:val="none" w:sz="0" w:space="0" w:color="auto"/>
                <w:bottom w:val="none" w:sz="0" w:space="0" w:color="auto"/>
                <w:right w:val="none" w:sz="0" w:space="0" w:color="auto"/>
              </w:divBdr>
              <w:divsChild>
                <w:div w:id="8667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603</Words>
  <Characters>3443</Characters>
  <Application>Microsoft Macintosh Word</Application>
  <DocSecurity>0</DocSecurity>
  <Lines>28</Lines>
  <Paragraphs>8</Paragraphs>
  <ScaleCrop>false</ScaleCrop>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Busara</dc:creator>
  <cp:keywords/>
  <dc:description/>
  <cp:lastModifiedBy>Princeton University</cp:lastModifiedBy>
  <cp:revision>2</cp:revision>
  <dcterms:created xsi:type="dcterms:W3CDTF">2016-11-04T20:28:00Z</dcterms:created>
  <dcterms:modified xsi:type="dcterms:W3CDTF">2016-11-04T20:28:00Z</dcterms:modified>
</cp:coreProperties>
</file>