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Title: </w:t>
      </w:r>
      <w:r w:rsidDel="00000000" w:rsidR="00000000" w:rsidRPr="00000000">
        <w:rPr>
          <w:rFonts w:ascii="Times New Roman" w:cs="Times New Roman" w:eastAsia="Times New Roman" w:hAnsi="Times New Roman"/>
          <w:color w:val="212121"/>
          <w:highlight w:val="white"/>
          <w:rtl w:val="0"/>
        </w:rPr>
        <w:t xml:space="preserve">Mechanisms of health behavior change: A systematic meta-review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Authors: </w:t>
      </w:r>
      <w:r w:rsidDel="00000000" w:rsidR="00000000" w:rsidRPr="00000000">
        <w:rPr>
          <w:rFonts w:ascii="Times New Roman" w:cs="Times New Roman" w:eastAsia="Times New Roman" w:hAnsi="Times New Roman"/>
          <w:color w:val="212121"/>
          <w:highlight w:val="white"/>
          <w:rtl w:val="0"/>
        </w:rPr>
        <w:t xml:space="preserve">Blair T. Johnson, Rebecca L. Acabchuk, Emily A. Hennessy, Jania Stewart-James, and Benjamin X. White</w:t>
      </w:r>
    </w:p>
    <w:p w:rsidR="00000000" w:rsidDel="00000000" w:rsidP="00000000" w:rsidRDefault="00000000" w:rsidRPr="00000000">
      <w:pPr>
        <w:pBdr/>
        <w:contextualSpacing w:val="0"/>
        <w:rPr>
          <w:rFonts w:ascii="Times New Roman" w:cs="Times New Roman" w:eastAsia="Times New Roman" w:hAnsi="Times New Roman"/>
          <w:color w:val="212121"/>
          <w:highlight w:val="whit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Overview</w:t>
      </w:r>
      <w:r w:rsidDel="00000000" w:rsidR="00000000" w:rsidRPr="00000000">
        <w:rPr>
          <w:rFonts w:ascii="Times New Roman" w:cs="Times New Roman" w:eastAsia="Times New Roman" w:hAnsi="Times New Roman"/>
          <w:color w:val="212121"/>
          <w:highlight w:val="white"/>
          <w:rtl w:val="0"/>
        </w:rPr>
        <w:t xml:space="preserve">: The central goal of SOBC is to identify key mechanisms underlying successful behavior change interventions aimed to promote healthy lifestyle, such as diet and exercise. The purpose of this meta-review is to compile what is known about the mechanisms of therapeutic action of health behavior change in the current literature using extant meta-analyses</w:t>
      </w:r>
      <w:r w:rsidDel="00000000" w:rsidR="00000000" w:rsidRPr="00000000">
        <w:rPr>
          <w:rFonts w:ascii="Times New Roman" w:cs="Times New Roman" w:eastAsia="Times New Roman" w:hAnsi="Times New Roman"/>
          <w:color w:val="212121"/>
          <w:highlight w:val="white"/>
          <w:rtl w:val="0"/>
        </w:rPr>
        <w:t xml:space="preserve">.</w:t>
      </w:r>
      <w:r w:rsidDel="00000000" w:rsidR="00000000" w:rsidRPr="00000000">
        <w:rPr>
          <w:rFonts w:ascii="Times New Roman" w:cs="Times New Roman" w:eastAsia="Times New Roman" w:hAnsi="Times New Roman"/>
          <w:color w:val="212121"/>
          <w:highlight w:val="white"/>
          <w:rtl w:val="0"/>
        </w:rPr>
        <w:t xml:space="preserve"> By compiling target mechanisms of behavior change across a wide range of interventions and health outcomes, results of this meta-review will inform future studies by identifying optimal behavior change strategies. To make the project more manageable as well as to focus on the most comprehensive and methodologically sophisticated reviews, the meta-review will focus on the last decade of published meta-analyses.</w:t>
      </w:r>
    </w:p>
    <w:p w:rsidR="00000000" w:rsidDel="00000000" w:rsidP="00000000" w:rsidRDefault="00000000" w:rsidRPr="00000000">
      <w:pPr>
        <w:pBdr/>
        <w:contextualSpacing w:val="0"/>
        <w:rPr>
          <w:rFonts w:ascii="Times New Roman" w:cs="Times New Roman" w:eastAsia="Times New Roman" w:hAnsi="Times New Roman"/>
          <w:color w:val="212121"/>
          <w:highlight w:val="whit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Research Aims:</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Compile target mechanisms of action that have been identified in meta-analyses focused on trials of interventions to promote health behavior change. (Examples of target mechanisms may include self-efficacy, emotion regulation and attention control.) </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Evaluate the methodological quality of recent meta-analyses related to SOBC target mechanisms.</w:t>
      </w:r>
    </w:p>
    <w:p w:rsidR="00000000" w:rsidDel="00000000" w:rsidP="00000000" w:rsidRDefault="00000000" w:rsidRPr="00000000">
      <w:pPr>
        <w:numPr>
          <w:ilvl w:val="1"/>
          <w:numId w:val="1"/>
        </w:numPr>
        <w:pBdr/>
        <w:ind w:left="1440" w:hanging="360"/>
        <w:contextualSpacing w:val="1"/>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Identify the limitations of existing meta-analyses and the underlying literature via the AMSTAR tool. </w:t>
      </w:r>
    </w:p>
    <w:p w:rsidR="00000000" w:rsidDel="00000000" w:rsidP="00000000" w:rsidRDefault="00000000" w:rsidRPr="00000000">
      <w:pPr>
        <w:numPr>
          <w:ilvl w:val="1"/>
          <w:numId w:val="1"/>
        </w:numPr>
        <w:pBdr/>
        <w:ind w:left="1440" w:hanging="360"/>
        <w:contextualSpacing w:val="1"/>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Determine which domains require new, high quality systematic reviews (e.g., domains for which past meta-analyses could not explain heterogeneity in study findings).</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Determine the extent to which interventions engage target mechanisms of action; identify where these links are most robust across varying methods (e.g., do different interventions engage similar mechanisms?). </w:t>
      </w:r>
    </w:p>
    <w:p w:rsidR="00000000" w:rsidDel="00000000" w:rsidP="00000000" w:rsidRDefault="00000000" w:rsidRPr="00000000">
      <w:pPr>
        <w:numPr>
          <w:ilvl w:val="1"/>
          <w:numId w:val="1"/>
        </w:numPr>
        <w:pBdr/>
        <w:ind w:left="1440" w:hanging="360"/>
        <w:contextualSpacing w:val="1"/>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Determine which behavior change techniques (</w:t>
      </w:r>
      <w:r w:rsidDel="00000000" w:rsidR="00000000" w:rsidRPr="00000000">
        <w:rPr>
          <w:rFonts w:ascii="Times New Roman" w:cs="Times New Roman" w:eastAsia="Times New Roman" w:hAnsi="Times New Roman"/>
          <w:color w:val="212121"/>
          <w:highlight w:val="white"/>
          <w:rtl w:val="0"/>
        </w:rPr>
        <w:t xml:space="preserve">BCTs</w:t>
      </w:r>
      <w:r w:rsidDel="00000000" w:rsidR="00000000" w:rsidRPr="00000000">
        <w:rPr>
          <w:rFonts w:ascii="Times New Roman" w:cs="Times New Roman" w:eastAsia="Times New Roman" w:hAnsi="Times New Roman"/>
          <w:color w:val="212121"/>
          <w:highlight w:val="white"/>
          <w:rtl w:val="0"/>
        </w:rPr>
        <w:t xml:space="preserve">) link to target mechanisms</w:t>
      </w:r>
    </w:p>
    <w:p w:rsidR="00000000" w:rsidDel="00000000" w:rsidP="00000000" w:rsidRDefault="00000000" w:rsidRPr="00000000">
      <w:pPr>
        <w:pBdr/>
        <w:contextualSpacing w:val="0"/>
        <w:rPr>
          <w:rFonts w:ascii="Times New Roman" w:cs="Times New Roman" w:eastAsia="Times New Roman" w:hAnsi="Times New Roman"/>
          <w:color w:val="212121"/>
          <w:highlight w:val="whit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Research questions:</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Which mechanisms of action of health behavior change have been most rigorously examined?  </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Do different interventions (e.g., mindfulness based interventions, cognitive restructuring, mobile technology interventions, episodic future thinking, virtual reality/gaming, financial incentives) engage similar target mechanisms of health behavior change?</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Does the same target mechanism of behavior change operate similarly across multiple outcome domains (e.g., does self-efficacy improve adherence to diet, exercise, smoking cessation and medical regimen)?</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To the extent that the existing literature permits investigation, d</w:t>
      </w:r>
      <w:r w:rsidDel="00000000" w:rsidR="00000000" w:rsidRPr="00000000">
        <w:rPr>
          <w:rFonts w:ascii="Times New Roman" w:cs="Times New Roman" w:eastAsia="Times New Roman" w:hAnsi="Times New Roman"/>
          <w:color w:val="212121"/>
          <w:highlight w:val="white"/>
          <w:rtl w:val="0"/>
        </w:rPr>
        <w:t xml:space="preserve">o mechanisms of health behavior change differ depending on life conditions: stage of life (i.e., child, teen, adult, elderly), social adversity (e.g., low socioeconomic status), clinical populations (e.g.,depression, anxiety, asthma, cancer)?</w:t>
      </w:r>
    </w:p>
    <w:p w:rsidR="00000000" w:rsidDel="00000000" w:rsidP="00000000" w:rsidRDefault="00000000" w:rsidRPr="00000000">
      <w:pPr>
        <w:numPr>
          <w:ilvl w:val="0"/>
          <w:numId w:val="1"/>
        </w:numPr>
        <w:pBdr/>
        <w:ind w:left="720" w:hanging="360"/>
        <w:contextualSpacing w:val="1"/>
        <w:rPr>
          <w:color w:val="212121"/>
          <w:highlight w:val="white"/>
        </w:rPr>
      </w:pPr>
      <w:r w:rsidDel="00000000" w:rsidR="00000000" w:rsidRPr="00000000">
        <w:rPr>
          <w:rFonts w:ascii="Times New Roman" w:cs="Times New Roman" w:eastAsia="Times New Roman" w:hAnsi="Times New Roman"/>
          <w:color w:val="212121"/>
          <w:highlight w:val="white"/>
          <w:rtl w:val="0"/>
        </w:rPr>
        <w:t xml:space="preserve">What target mechanisms are becoming more prevalent in the literature?  (For example, a recent series of studies have identified </w:t>
      </w:r>
      <w:r w:rsidDel="00000000" w:rsidR="00000000" w:rsidRPr="00000000">
        <w:rPr>
          <w:rFonts w:ascii="Times New Roman" w:cs="Times New Roman" w:eastAsia="Times New Roman" w:hAnsi="Times New Roman"/>
          <w:i w:val="1"/>
          <w:color w:val="212121"/>
          <w:highlight w:val="white"/>
          <w:rtl w:val="0"/>
        </w:rPr>
        <w:t xml:space="preserve">decentering, </w:t>
      </w:r>
      <w:r w:rsidDel="00000000" w:rsidR="00000000" w:rsidRPr="00000000">
        <w:rPr>
          <w:rFonts w:ascii="Times New Roman" w:cs="Times New Roman" w:eastAsia="Times New Roman" w:hAnsi="Times New Roman"/>
          <w:color w:val="212121"/>
          <w:highlight w:val="white"/>
          <w:rtl w:val="0"/>
        </w:rPr>
        <w:t xml:space="preserve">the ability to adopt a psychologically distanced stance from one’s thoughts and emotions that arise,</w:t>
      </w:r>
      <w:r w:rsidDel="00000000" w:rsidR="00000000" w:rsidRPr="00000000">
        <w:rPr>
          <w:rFonts w:ascii="Times New Roman" w:cs="Times New Roman" w:eastAsia="Times New Roman" w:hAnsi="Times New Roman"/>
          <w:i w:val="1"/>
          <w:color w:val="212121"/>
          <w:highlight w:val="white"/>
          <w:rtl w:val="0"/>
        </w:rPr>
        <w:t xml:space="preserve"> </w:t>
      </w:r>
      <w:r w:rsidDel="00000000" w:rsidR="00000000" w:rsidRPr="00000000">
        <w:rPr>
          <w:rFonts w:ascii="Times New Roman" w:cs="Times New Roman" w:eastAsia="Times New Roman" w:hAnsi="Times New Roman"/>
          <w:color w:val="212121"/>
          <w:highlight w:val="white"/>
          <w:rtl w:val="0"/>
        </w:rPr>
        <w:t xml:space="preserve">as a putative therapeutic mechanism in mindfulness-based interventions.) </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What other key factors influencing adherence are highlighted by the existing literature in health behavior change?  (Examples might include motivation, reward, reinforcement, feedback, trust, stress, acceptability, accountability, empowerment and culture)</w:t>
      </w:r>
    </w:p>
    <w:p w:rsidR="00000000" w:rsidDel="00000000" w:rsidP="00000000" w:rsidRDefault="00000000" w:rsidRPr="00000000">
      <w:pPr>
        <w:pBdr/>
        <w:contextualSpacing w:val="0"/>
        <w:rPr>
          <w:rFonts w:ascii="Times New Roman" w:cs="Times New Roman" w:eastAsia="Times New Roman" w:hAnsi="Times New Roman"/>
          <w:color w:val="212121"/>
          <w:highlight w:val="whit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Inclusion criteria: </w:t>
      </w:r>
      <w:r w:rsidDel="00000000" w:rsidR="00000000" w:rsidRPr="00000000">
        <w:rPr>
          <w:rFonts w:ascii="Times New Roman" w:cs="Times New Roman" w:eastAsia="Times New Roman" w:hAnsi="Times New Roman"/>
          <w:color w:val="212121"/>
          <w:highlight w:val="white"/>
          <w:rtl w:val="0"/>
        </w:rPr>
        <w:t xml:space="preserve">Meta-analyses will be included if they evaluated trials of interventions in relation to a target mechanism and were published after 2006.  </w:t>
      </w:r>
    </w:p>
    <w:p w:rsidR="00000000" w:rsidDel="00000000" w:rsidP="00000000" w:rsidRDefault="00000000" w:rsidRPr="00000000">
      <w:pPr>
        <w:pBdr/>
        <w:contextualSpacing w:val="0"/>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Exclusion criteria: </w:t>
      </w:r>
      <w:r w:rsidDel="00000000" w:rsidR="00000000" w:rsidRPr="00000000">
        <w:rPr>
          <w:rFonts w:ascii="Times New Roman" w:cs="Times New Roman" w:eastAsia="Times New Roman" w:hAnsi="Times New Roman"/>
          <w:color w:val="212121"/>
          <w:highlight w:val="white"/>
          <w:rtl w:val="0"/>
        </w:rPr>
        <w:t xml:space="preserve">Meta-analyses will be excluded if they do not identify target mechanisms applicable to the general public; thus, meta-analyses focused solely on abnormal populations will be excluded. </w:t>
      </w:r>
    </w:p>
    <w:p w:rsidR="00000000" w:rsidDel="00000000" w:rsidP="00000000" w:rsidRDefault="00000000" w:rsidRPr="00000000">
      <w:pPr>
        <w:pBdr/>
        <w:contextualSpacing w:val="0"/>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Registration</w:t>
      </w:r>
      <w:r w:rsidDel="00000000" w:rsidR="00000000" w:rsidRPr="00000000">
        <w:rPr>
          <w:rFonts w:ascii="Times New Roman" w:cs="Times New Roman" w:eastAsia="Times New Roman" w:hAnsi="Times New Roman"/>
          <w:color w:val="212121"/>
          <w:highlight w:val="white"/>
          <w:rtl w:val="0"/>
        </w:rPr>
        <w:t xml:space="preserve">: After the Steering Committee approves this proposal we will register the meta-review in Prospero. </w:t>
      </w:r>
    </w:p>
    <w:sectPr>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