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8E" w:rsidRPr="004E715E" w:rsidRDefault="009349DE" w:rsidP="00614467">
      <w:pPr>
        <w:pStyle w:val="Title"/>
        <w:rPr>
          <w:color w:val="auto"/>
        </w:rPr>
      </w:pPr>
      <w:r>
        <w:rPr>
          <w:color w:val="auto"/>
        </w:rPr>
        <w:t>Steering Committee Call 8.17.16</w:t>
      </w:r>
    </w:p>
    <w:tbl>
      <w:tblPr>
        <w:tblStyle w:val="MediumShading1-Accent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330"/>
        <w:gridCol w:w="1530"/>
        <w:gridCol w:w="2250"/>
        <w:gridCol w:w="1170"/>
        <w:gridCol w:w="1350"/>
      </w:tblGrid>
      <w:tr w:rsidR="004E715E" w:rsidRPr="004E715E" w:rsidTr="00614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D0580" w:rsidRPr="004E715E" w:rsidRDefault="007D0580" w:rsidP="00487D39">
            <w:pPr>
              <w:rPr>
                <w:color w:val="auto"/>
                <w:sz w:val="20"/>
                <w:szCs w:val="20"/>
              </w:rPr>
            </w:pPr>
            <w:r w:rsidRPr="004E715E">
              <w:rPr>
                <w:color w:val="auto"/>
                <w:sz w:val="20"/>
                <w:szCs w:val="20"/>
              </w:rPr>
              <w:t xml:space="preserve">Location: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580" w:rsidRPr="009349DE" w:rsidRDefault="009349DE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9349DE">
              <w:rPr>
                <w:b w:val="0"/>
                <w:color w:val="auto"/>
                <w:sz w:val="20"/>
                <w:szCs w:val="20"/>
              </w:rPr>
              <w:t>646-317-5469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D0580" w:rsidRPr="004E715E" w:rsidRDefault="00614467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E715E">
              <w:rPr>
                <w:color w:val="auto"/>
                <w:sz w:val="20"/>
                <w:szCs w:val="20"/>
              </w:rPr>
              <w:t>Leader</w:t>
            </w:r>
            <w:r w:rsidR="0056685C" w:rsidRPr="004E715E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80" w:rsidRPr="009349DE" w:rsidRDefault="009349DE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Donald Edmondson</w:t>
            </w:r>
          </w:p>
        </w:tc>
      </w:tr>
      <w:tr w:rsidR="004E715E" w:rsidRPr="004E715E" w:rsidTr="00F6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:rsidR="0056685C" w:rsidRPr="004E715E" w:rsidRDefault="0056685C" w:rsidP="00487D39">
            <w:pPr>
              <w:rPr>
                <w:sz w:val="20"/>
                <w:szCs w:val="20"/>
              </w:rPr>
            </w:pPr>
            <w:r w:rsidRPr="004E715E">
              <w:rPr>
                <w:sz w:val="20"/>
                <w:szCs w:val="20"/>
              </w:rPr>
              <w:t xml:space="preserve">Date: 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56685C" w:rsidRPr="004E715E" w:rsidRDefault="009349DE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8.17.16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:rsidR="0056685C" w:rsidRPr="004E715E" w:rsidRDefault="0056685C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E715E">
              <w:rPr>
                <w:b/>
                <w:sz w:val="20"/>
                <w:szCs w:val="20"/>
              </w:rPr>
              <w:t>Note Taker:</w:t>
            </w:r>
          </w:p>
        </w:tc>
        <w:tc>
          <w:tcPr>
            <w:tcW w:w="4770" w:type="dxa"/>
            <w:gridSpan w:val="3"/>
            <w:shd w:val="clear" w:color="auto" w:fill="auto"/>
            <w:vAlign w:val="center"/>
          </w:tcPr>
          <w:p w:rsidR="0056685C" w:rsidRPr="004E715E" w:rsidRDefault="009349DE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Stephanie Navarrete</w:t>
            </w:r>
          </w:p>
        </w:tc>
      </w:tr>
      <w:tr w:rsidR="004E715E" w:rsidRPr="004E715E" w:rsidTr="00F663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:rsidR="005D35E4" w:rsidRPr="004E715E" w:rsidRDefault="005D35E4" w:rsidP="00487D39">
            <w:pPr>
              <w:rPr>
                <w:sz w:val="20"/>
                <w:szCs w:val="20"/>
              </w:rPr>
            </w:pPr>
            <w:r w:rsidRPr="004E715E">
              <w:rPr>
                <w:sz w:val="20"/>
                <w:szCs w:val="20"/>
              </w:rPr>
              <w:t>Time: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5D35E4" w:rsidRPr="004E715E" w:rsidRDefault="009349DE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2pm EST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:rsidR="005D35E4" w:rsidRPr="004E715E" w:rsidRDefault="005D35E4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E715E">
              <w:rPr>
                <w:b/>
                <w:sz w:val="20"/>
                <w:szCs w:val="20"/>
              </w:rPr>
              <w:t>Call In #: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D35E4" w:rsidRPr="004E715E" w:rsidRDefault="009349DE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349DE">
              <w:rPr>
                <w:sz w:val="20"/>
                <w:szCs w:val="20"/>
              </w:rPr>
              <w:t>646-317-5469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:rsidR="005D35E4" w:rsidRPr="004E715E" w:rsidRDefault="005D35E4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E715E">
              <w:rPr>
                <w:b/>
                <w:sz w:val="20"/>
                <w:szCs w:val="20"/>
              </w:rPr>
              <w:t xml:space="preserve">Code: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D35E4" w:rsidRPr="004E715E" w:rsidRDefault="005D35E4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E715E" w:rsidRPr="004E715E" w:rsidTr="00F6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:rsidR="00CC0849" w:rsidRPr="004E715E" w:rsidRDefault="00CC0849" w:rsidP="0060662F">
            <w:pPr>
              <w:rPr>
                <w:sz w:val="20"/>
                <w:szCs w:val="20"/>
              </w:rPr>
            </w:pPr>
            <w:r w:rsidRPr="004E715E">
              <w:rPr>
                <w:sz w:val="20"/>
                <w:szCs w:val="20"/>
              </w:rPr>
              <w:t>Attendees:</w:t>
            </w:r>
          </w:p>
        </w:tc>
        <w:tc>
          <w:tcPr>
            <w:tcW w:w="9630" w:type="dxa"/>
            <w:gridSpan w:val="5"/>
            <w:shd w:val="clear" w:color="auto" w:fill="auto"/>
            <w:vAlign w:val="center"/>
          </w:tcPr>
          <w:p w:rsidR="00CC0849" w:rsidRPr="004E715E" w:rsidRDefault="00CC0849" w:rsidP="0060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</w:tbl>
    <w:p w:rsidR="00053817" w:rsidRPr="004E715E" w:rsidRDefault="00053817" w:rsidP="00F66351">
      <w:pPr>
        <w:spacing w:after="0" w:line="240" w:lineRule="auto"/>
        <w:rPr>
          <w:b/>
        </w:rPr>
      </w:pP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10908"/>
      </w:tblGrid>
      <w:tr w:rsidR="004E715E" w:rsidRPr="004E715E" w:rsidTr="00940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:rsidR="00053817" w:rsidRPr="004E715E" w:rsidRDefault="00D55C35" w:rsidP="00D55C35">
            <w:pPr>
              <w:rPr>
                <w:color w:val="auto"/>
                <w:sz w:val="20"/>
                <w:szCs w:val="20"/>
              </w:rPr>
            </w:pPr>
            <w:r w:rsidRPr="004E715E">
              <w:rPr>
                <w:color w:val="auto"/>
                <w:sz w:val="20"/>
                <w:szCs w:val="20"/>
              </w:rPr>
              <w:t>MEETING OBJECTIVES</w:t>
            </w:r>
          </w:p>
        </w:tc>
      </w:tr>
      <w:tr w:rsidR="004E715E" w:rsidRPr="004E715E" w:rsidTr="00940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:rsidR="00053817" w:rsidRDefault="00053817" w:rsidP="009D1CD8">
            <w:pPr>
              <w:pStyle w:val="ListParagraph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 w:rsidRPr="004E715E">
              <w:rPr>
                <w:b w:val="0"/>
                <w:sz w:val="20"/>
                <w:szCs w:val="20"/>
              </w:rPr>
              <w:t xml:space="preserve"> </w:t>
            </w:r>
            <w:r w:rsidR="009349DE">
              <w:rPr>
                <w:b w:val="0"/>
                <w:sz w:val="20"/>
                <w:szCs w:val="20"/>
              </w:rPr>
              <w:t>Discuss new phone call structure</w:t>
            </w:r>
          </w:p>
          <w:p w:rsidR="009D1CD8" w:rsidRPr="009D1CD8" w:rsidRDefault="009D1CD8" w:rsidP="00821D75">
            <w:pPr>
              <w:pStyle w:val="ListParagraph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Update on </w:t>
            </w:r>
            <w:r w:rsidR="00821D75">
              <w:rPr>
                <w:b w:val="0"/>
                <w:sz w:val="20"/>
                <w:szCs w:val="20"/>
              </w:rPr>
              <w:t xml:space="preserve">subcommittee </w:t>
            </w:r>
            <w:r>
              <w:rPr>
                <w:b w:val="0"/>
                <w:sz w:val="20"/>
                <w:szCs w:val="20"/>
              </w:rPr>
              <w:t>plan going forward</w:t>
            </w:r>
          </w:p>
        </w:tc>
      </w:tr>
    </w:tbl>
    <w:p w:rsidR="00F66351" w:rsidRPr="004E715E" w:rsidRDefault="00F66351" w:rsidP="00F66351">
      <w:pPr>
        <w:spacing w:after="0" w:line="240" w:lineRule="auto"/>
      </w:pP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6277"/>
        <w:gridCol w:w="1031"/>
        <w:gridCol w:w="3600"/>
      </w:tblGrid>
      <w:tr w:rsidR="004E715E" w:rsidRPr="004E715E" w:rsidTr="00DD0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7" w:type="dxa"/>
            <w:tcBorders>
              <w:bottom w:val="single" w:sz="4" w:space="0" w:color="auto"/>
            </w:tcBorders>
          </w:tcPr>
          <w:p w:rsidR="00560A8E" w:rsidRPr="004E715E" w:rsidRDefault="00560A8E" w:rsidP="00F66351">
            <w:pPr>
              <w:rPr>
                <w:color w:val="auto"/>
                <w:sz w:val="20"/>
                <w:szCs w:val="20"/>
              </w:rPr>
            </w:pPr>
            <w:r w:rsidRPr="004E715E">
              <w:rPr>
                <w:color w:val="auto"/>
                <w:sz w:val="20"/>
                <w:szCs w:val="20"/>
              </w:rPr>
              <w:t>AGENDA ITEMS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560A8E" w:rsidRPr="004E715E" w:rsidRDefault="00560A8E" w:rsidP="00F663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E715E">
              <w:rPr>
                <w:color w:val="auto"/>
                <w:sz w:val="20"/>
                <w:szCs w:val="20"/>
              </w:rPr>
              <w:t>Presenter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560A8E" w:rsidRPr="004E715E" w:rsidRDefault="00560A8E" w:rsidP="00F663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E715E">
              <w:rPr>
                <w:color w:val="auto"/>
                <w:sz w:val="20"/>
                <w:szCs w:val="20"/>
              </w:rPr>
              <w:t>Discussion</w:t>
            </w:r>
            <w:r w:rsidR="00F66351" w:rsidRPr="004E715E">
              <w:rPr>
                <w:color w:val="auto"/>
                <w:sz w:val="20"/>
                <w:szCs w:val="20"/>
              </w:rPr>
              <w:t xml:space="preserve"> </w:t>
            </w:r>
            <w:r w:rsidR="00F66351" w:rsidRPr="004E715E">
              <w:rPr>
                <w:b w:val="0"/>
                <w:color w:val="auto"/>
                <w:sz w:val="20"/>
                <w:szCs w:val="20"/>
              </w:rPr>
              <w:t>(Minutes)</w:t>
            </w:r>
          </w:p>
        </w:tc>
      </w:tr>
      <w:tr w:rsidR="004E715E" w:rsidRPr="004E715E" w:rsidTr="00DD0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9" w:rsidRPr="004E715E" w:rsidRDefault="009349DE" w:rsidP="00F66351">
            <w:pPr>
              <w:pStyle w:val="ListParagraph"/>
              <w:numPr>
                <w:ilvl w:val="0"/>
                <w:numId w:val="9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New call structure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9" w:rsidRPr="004E715E" w:rsidRDefault="009349DE" w:rsidP="007F00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Donald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9" w:rsidRPr="004E715E" w:rsidRDefault="00487D39" w:rsidP="00F66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E715E" w:rsidRPr="004E715E" w:rsidTr="00DD02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9" w:rsidRPr="004E715E" w:rsidRDefault="00031A9B" w:rsidP="009349DE">
            <w:pPr>
              <w:pStyle w:val="ListParagraph"/>
              <w:numPr>
                <w:ilvl w:val="0"/>
                <w:numId w:val="9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Measures ch</w:t>
            </w:r>
            <w:bookmarkStart w:id="0" w:name="_GoBack"/>
            <w:bookmarkEnd w:id="0"/>
            <w:r>
              <w:rPr>
                <w:b w:val="0"/>
                <w:sz w:val="20"/>
                <w:szCs w:val="20"/>
              </w:rPr>
              <w:t>art</w:t>
            </w:r>
            <w:r w:rsidR="009349D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9" w:rsidRPr="004E715E" w:rsidRDefault="00031A9B" w:rsidP="007F00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Donald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9" w:rsidRPr="004E715E" w:rsidRDefault="00487D39" w:rsidP="00F663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E715E" w:rsidRPr="004E715E" w:rsidTr="00DD0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9" w:rsidRPr="004E715E" w:rsidRDefault="009349DE" w:rsidP="00F66351">
            <w:pPr>
              <w:pStyle w:val="ListParagraph"/>
              <w:numPr>
                <w:ilvl w:val="0"/>
                <w:numId w:val="9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Progress of systematic review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9" w:rsidRPr="004E715E" w:rsidRDefault="007F0071" w:rsidP="007F00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Donald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9" w:rsidRPr="004E715E" w:rsidRDefault="00487D39" w:rsidP="00F66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31A9B" w:rsidRPr="004E715E" w:rsidTr="00DD02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9B" w:rsidRPr="00031A9B" w:rsidRDefault="00031A9B" w:rsidP="00F66351">
            <w:pPr>
              <w:pStyle w:val="ListParagraph"/>
              <w:numPr>
                <w:ilvl w:val="0"/>
                <w:numId w:val="9"/>
              </w:numPr>
              <w:rPr>
                <w:b w:val="0"/>
                <w:sz w:val="20"/>
                <w:szCs w:val="20"/>
              </w:rPr>
            </w:pPr>
            <w:r w:rsidRPr="00031A9B">
              <w:rPr>
                <w:b w:val="0"/>
                <w:sz w:val="20"/>
                <w:szCs w:val="20"/>
              </w:rPr>
              <w:t>Marker paper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9B" w:rsidRDefault="00031A9B" w:rsidP="007F00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Donald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9B" w:rsidRPr="004E715E" w:rsidRDefault="00031A9B" w:rsidP="00F663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E715E" w:rsidRPr="004E715E" w:rsidTr="00DD0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51" w:rsidRPr="004E715E" w:rsidRDefault="009349DE" w:rsidP="00F66351">
            <w:pPr>
              <w:pStyle w:val="ListParagraph"/>
              <w:numPr>
                <w:ilvl w:val="0"/>
                <w:numId w:val="9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Subcommittee update</w:t>
            </w:r>
            <w:r w:rsidR="00D56318">
              <w:rPr>
                <w:b w:val="0"/>
                <w:sz w:val="20"/>
                <w:szCs w:val="20"/>
              </w:rPr>
              <w:t>/plan moving forward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51" w:rsidRPr="004E715E" w:rsidRDefault="007F0071" w:rsidP="007F00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Donald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51" w:rsidRPr="004E715E" w:rsidRDefault="00F66351" w:rsidP="00F66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F0071" w:rsidRPr="004E715E" w:rsidTr="00DD02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71" w:rsidRDefault="007F0071" w:rsidP="00DD02AC">
            <w:pPr>
              <w:pStyle w:val="ListParagraph"/>
              <w:numPr>
                <w:ilvl w:val="0"/>
                <w:numId w:val="9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Standing steering committee call</w:t>
            </w:r>
            <w:r w:rsidR="00DD02AC">
              <w:rPr>
                <w:b w:val="0"/>
                <w:sz w:val="20"/>
                <w:szCs w:val="20"/>
              </w:rPr>
              <w:t>/grand rounds (date/time?)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71" w:rsidRPr="004E715E" w:rsidRDefault="007F0071" w:rsidP="007F00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Donald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71" w:rsidRPr="004E715E" w:rsidRDefault="007F0071" w:rsidP="00F663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F804B6" w:rsidRPr="004E715E" w:rsidRDefault="00F804B6" w:rsidP="00F804B6">
      <w:pPr>
        <w:spacing w:after="0" w:line="240" w:lineRule="auto"/>
      </w:pP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10908"/>
      </w:tblGrid>
      <w:tr w:rsidR="004E715E" w:rsidRPr="004E715E" w:rsidTr="00626F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:rsidR="00F804B6" w:rsidRPr="004E715E" w:rsidRDefault="00F804B6" w:rsidP="00626FF1">
            <w:pPr>
              <w:rPr>
                <w:color w:val="auto"/>
                <w:sz w:val="20"/>
                <w:szCs w:val="20"/>
              </w:rPr>
            </w:pPr>
            <w:r w:rsidRPr="004E715E">
              <w:rPr>
                <w:color w:val="auto"/>
                <w:sz w:val="20"/>
                <w:szCs w:val="20"/>
              </w:rPr>
              <w:t xml:space="preserve">Notes </w:t>
            </w:r>
            <w:r w:rsidRPr="004E715E">
              <w:rPr>
                <w:b w:val="0"/>
                <w:color w:val="auto"/>
                <w:sz w:val="20"/>
                <w:szCs w:val="20"/>
              </w:rPr>
              <w:t>(Minutes)</w:t>
            </w:r>
          </w:p>
        </w:tc>
      </w:tr>
      <w:tr w:rsidR="004E715E" w:rsidRPr="004E715E" w:rsidTr="00626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:rsidR="00F804B6" w:rsidRPr="004E715E" w:rsidRDefault="00F804B6" w:rsidP="00626FF1">
            <w:pPr>
              <w:pStyle w:val="ListParagraph"/>
              <w:numPr>
                <w:ilvl w:val="0"/>
                <w:numId w:val="13"/>
              </w:numPr>
              <w:rPr>
                <w:b w:val="0"/>
                <w:sz w:val="20"/>
                <w:szCs w:val="20"/>
              </w:rPr>
            </w:pPr>
            <w:r w:rsidRPr="004E715E">
              <w:rPr>
                <w:b w:val="0"/>
                <w:sz w:val="20"/>
                <w:szCs w:val="20"/>
              </w:rPr>
              <w:t xml:space="preserve"> </w:t>
            </w:r>
          </w:p>
          <w:p w:rsidR="00F804B6" w:rsidRPr="004E715E" w:rsidRDefault="00F804B6" w:rsidP="00F804B6">
            <w:pPr>
              <w:pStyle w:val="ListParagraph"/>
              <w:numPr>
                <w:ilvl w:val="0"/>
                <w:numId w:val="13"/>
              </w:numPr>
              <w:rPr>
                <w:b w:val="0"/>
                <w:sz w:val="20"/>
                <w:szCs w:val="20"/>
              </w:rPr>
            </w:pPr>
            <w:r w:rsidRPr="004E715E">
              <w:rPr>
                <w:b w:val="0"/>
                <w:sz w:val="20"/>
                <w:szCs w:val="20"/>
              </w:rPr>
              <w:t xml:space="preserve"> </w:t>
            </w:r>
          </w:p>
          <w:p w:rsidR="00F804B6" w:rsidRPr="004E715E" w:rsidRDefault="00F804B6" w:rsidP="00F804B6">
            <w:pPr>
              <w:pStyle w:val="ListParagraph"/>
              <w:numPr>
                <w:ilvl w:val="0"/>
                <w:numId w:val="13"/>
              </w:numPr>
              <w:rPr>
                <w:b w:val="0"/>
                <w:sz w:val="20"/>
                <w:szCs w:val="20"/>
              </w:rPr>
            </w:pPr>
          </w:p>
        </w:tc>
      </w:tr>
    </w:tbl>
    <w:p w:rsidR="00F804B6" w:rsidRPr="004E715E" w:rsidRDefault="00F804B6" w:rsidP="00F66351">
      <w:pPr>
        <w:spacing w:after="0" w:line="240" w:lineRule="auto"/>
      </w:pP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7308"/>
        <w:gridCol w:w="2250"/>
        <w:gridCol w:w="1350"/>
      </w:tblGrid>
      <w:tr w:rsidR="004E715E" w:rsidRPr="004E715E" w:rsidTr="00940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bottom w:val="single" w:sz="4" w:space="0" w:color="auto"/>
            </w:tcBorders>
          </w:tcPr>
          <w:p w:rsidR="00F804B6" w:rsidRPr="004E715E" w:rsidRDefault="00F804B6" w:rsidP="00940E64">
            <w:pPr>
              <w:rPr>
                <w:color w:val="auto"/>
                <w:sz w:val="20"/>
                <w:szCs w:val="20"/>
              </w:rPr>
            </w:pPr>
            <w:r w:rsidRPr="004E715E">
              <w:rPr>
                <w:color w:val="auto"/>
                <w:sz w:val="20"/>
                <w:szCs w:val="20"/>
              </w:rPr>
              <w:t>ACTION ITEMS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F804B6" w:rsidRPr="004E715E" w:rsidRDefault="00F804B6" w:rsidP="00940E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E715E">
              <w:rPr>
                <w:color w:val="auto"/>
                <w:sz w:val="20"/>
                <w:szCs w:val="20"/>
              </w:rPr>
              <w:t>Responsible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F804B6" w:rsidRPr="004E715E" w:rsidRDefault="00F804B6" w:rsidP="00940E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E715E">
              <w:rPr>
                <w:color w:val="auto"/>
                <w:sz w:val="20"/>
                <w:szCs w:val="20"/>
              </w:rPr>
              <w:t>Due Date</w:t>
            </w:r>
          </w:p>
        </w:tc>
      </w:tr>
      <w:tr w:rsidR="004E715E" w:rsidRPr="004E715E" w:rsidTr="00940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B6" w:rsidRPr="004E715E" w:rsidRDefault="00F804B6" w:rsidP="00940E64">
            <w:pPr>
              <w:pStyle w:val="ListParagraph"/>
              <w:numPr>
                <w:ilvl w:val="0"/>
                <w:numId w:val="10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B6" w:rsidRPr="004E715E" w:rsidRDefault="00F804B6" w:rsidP="00940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B6" w:rsidRPr="004E715E" w:rsidRDefault="00F804B6" w:rsidP="00940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E715E" w:rsidRPr="004E715E" w:rsidTr="00940E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B6" w:rsidRPr="004E715E" w:rsidRDefault="00F804B6" w:rsidP="00940E64">
            <w:pPr>
              <w:pStyle w:val="ListParagraph"/>
              <w:numPr>
                <w:ilvl w:val="0"/>
                <w:numId w:val="10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B6" w:rsidRPr="004E715E" w:rsidRDefault="00F804B6" w:rsidP="00940E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B6" w:rsidRPr="004E715E" w:rsidRDefault="00F804B6" w:rsidP="00940E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E715E" w:rsidRPr="004E715E" w:rsidTr="00940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B6" w:rsidRPr="004E715E" w:rsidRDefault="00F804B6" w:rsidP="00940E64">
            <w:pPr>
              <w:pStyle w:val="ListParagraph"/>
              <w:numPr>
                <w:ilvl w:val="0"/>
                <w:numId w:val="10"/>
              </w:numPr>
              <w:rPr>
                <w:b w:val="0"/>
                <w:bCs w:val="0"/>
                <w:sz w:val="20"/>
                <w:szCs w:val="20"/>
              </w:rPr>
            </w:pPr>
            <w:r w:rsidRPr="004E715E">
              <w:rPr>
                <w:b w:val="0"/>
                <w:sz w:val="20"/>
                <w:szCs w:val="20"/>
              </w:rPr>
              <w:t xml:space="preserve"> </w:t>
            </w:r>
            <w:r w:rsidRPr="004E715E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B6" w:rsidRPr="004E715E" w:rsidRDefault="00F804B6" w:rsidP="00940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B6" w:rsidRPr="004E715E" w:rsidRDefault="00F804B6" w:rsidP="00940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E715E" w:rsidRPr="004E715E" w:rsidTr="00940E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B6" w:rsidRPr="004E715E" w:rsidRDefault="00F804B6" w:rsidP="00940E64">
            <w:pPr>
              <w:pStyle w:val="ListParagraph"/>
              <w:numPr>
                <w:ilvl w:val="0"/>
                <w:numId w:val="10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B6" w:rsidRPr="004E715E" w:rsidRDefault="00F804B6" w:rsidP="00940E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B6" w:rsidRPr="004E715E" w:rsidRDefault="00F804B6" w:rsidP="00940E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F804B6" w:rsidRPr="004E715E" w:rsidRDefault="00F804B6" w:rsidP="00F66351">
      <w:pPr>
        <w:spacing w:after="0" w:line="240" w:lineRule="auto"/>
      </w:pP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10908"/>
      </w:tblGrid>
      <w:tr w:rsidR="004E715E" w:rsidRPr="004E715E" w:rsidTr="00940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:rsidR="00F66351" w:rsidRPr="004E715E" w:rsidRDefault="00F66351" w:rsidP="00F66351">
            <w:pPr>
              <w:rPr>
                <w:color w:val="auto"/>
                <w:sz w:val="20"/>
                <w:szCs w:val="20"/>
              </w:rPr>
            </w:pPr>
            <w:r w:rsidRPr="004E715E">
              <w:rPr>
                <w:color w:val="auto"/>
                <w:sz w:val="20"/>
                <w:szCs w:val="20"/>
              </w:rPr>
              <w:t>Attachments</w:t>
            </w:r>
            <w:r w:rsidR="00F804B6" w:rsidRPr="004E715E">
              <w:rPr>
                <w:color w:val="auto"/>
                <w:sz w:val="20"/>
                <w:szCs w:val="20"/>
              </w:rPr>
              <w:t xml:space="preserve">  </w:t>
            </w:r>
            <w:r w:rsidR="00F804B6" w:rsidRPr="004E715E">
              <w:rPr>
                <w:b w:val="0"/>
                <w:i/>
                <w:color w:val="auto"/>
                <w:sz w:val="20"/>
                <w:szCs w:val="20"/>
              </w:rPr>
              <w:t>(if necessary)</w:t>
            </w:r>
          </w:p>
        </w:tc>
      </w:tr>
      <w:tr w:rsidR="004E715E" w:rsidRPr="004E715E" w:rsidTr="00940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:rsidR="008B6BA7" w:rsidRDefault="00F66351" w:rsidP="008B6BA7">
            <w:pPr>
              <w:pStyle w:val="ListParagraph"/>
              <w:numPr>
                <w:ilvl w:val="0"/>
                <w:numId w:val="11"/>
              </w:numPr>
              <w:rPr>
                <w:b w:val="0"/>
                <w:sz w:val="20"/>
                <w:szCs w:val="20"/>
              </w:rPr>
            </w:pPr>
            <w:r w:rsidRPr="004E715E">
              <w:rPr>
                <w:b w:val="0"/>
                <w:sz w:val="20"/>
                <w:szCs w:val="20"/>
              </w:rPr>
              <w:t xml:space="preserve"> </w:t>
            </w:r>
            <w:r w:rsidR="008B6BA7">
              <w:rPr>
                <w:b w:val="0"/>
                <w:sz w:val="20"/>
                <w:szCs w:val="20"/>
              </w:rPr>
              <w:t xml:space="preserve">Steering Committee Call Structure </w:t>
            </w:r>
            <w:r w:rsidR="008B6BA7" w:rsidRPr="008B6BA7">
              <w:rPr>
                <w:sz w:val="20"/>
                <w:szCs w:val="20"/>
              </w:rPr>
              <w:t>(monthly)</w:t>
            </w:r>
          </w:p>
          <w:p w:rsidR="00F66351" w:rsidRPr="00AC499D" w:rsidRDefault="008B6BA7" w:rsidP="008B6BA7">
            <w:pPr>
              <w:pStyle w:val="ListParagraph"/>
              <w:numPr>
                <w:ilvl w:val="0"/>
                <w:numId w:val="1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Grand Rounds Call Structure </w:t>
            </w:r>
            <w:r w:rsidRPr="008B6BA7">
              <w:rPr>
                <w:sz w:val="20"/>
                <w:szCs w:val="20"/>
              </w:rPr>
              <w:t>(bimonthly)</w:t>
            </w:r>
            <w:r w:rsidR="00F66351" w:rsidRPr="008B6BA7">
              <w:rPr>
                <w:sz w:val="20"/>
                <w:szCs w:val="20"/>
              </w:rPr>
              <w:t xml:space="preserve"> </w:t>
            </w:r>
          </w:p>
          <w:p w:rsidR="001E7A21" w:rsidRPr="00AC499D" w:rsidRDefault="001E7A21" w:rsidP="00821D75">
            <w:pPr>
              <w:pStyle w:val="ListParagraph"/>
              <w:numPr>
                <w:ilvl w:val="0"/>
                <w:numId w:val="1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Measures chart </w:t>
            </w:r>
          </w:p>
        </w:tc>
      </w:tr>
    </w:tbl>
    <w:p w:rsidR="00F804B6" w:rsidRPr="004E715E" w:rsidRDefault="00F804B6" w:rsidP="00F66351">
      <w:pPr>
        <w:spacing w:after="0" w:line="240" w:lineRule="auto"/>
      </w:pPr>
    </w:p>
    <w:p w:rsidR="008B6BA7" w:rsidRPr="00CE1661" w:rsidRDefault="008B6BA7" w:rsidP="008B6BA7">
      <w:pPr>
        <w:pStyle w:val="ListParagraph"/>
        <w:numPr>
          <w:ilvl w:val="0"/>
          <w:numId w:val="14"/>
        </w:numPr>
        <w:rPr>
          <w:b/>
          <w:i/>
        </w:rPr>
      </w:pPr>
      <w:r w:rsidRPr="00CE1661">
        <w:rPr>
          <w:b/>
          <w:i/>
        </w:rPr>
        <w:t xml:space="preserve">Monthly Steering Committee Call </w:t>
      </w:r>
      <w:r w:rsidR="00CE1661">
        <w:rPr>
          <w:b/>
          <w:i/>
        </w:rPr>
        <w:t>(</w:t>
      </w:r>
      <w:r w:rsidRPr="00CE1661">
        <w:rPr>
          <w:b/>
          <w:i/>
        </w:rPr>
        <w:t>60 minutes</w:t>
      </w:r>
      <w:r w:rsidR="00CE1661">
        <w:rPr>
          <w:b/>
          <w:i/>
        </w:rPr>
        <w:t>)</w:t>
      </w:r>
    </w:p>
    <w:p w:rsidR="008B6BA7" w:rsidRDefault="008B6BA7" w:rsidP="008B6BA7">
      <w:pPr>
        <w:pStyle w:val="ListParagraph"/>
        <w:numPr>
          <w:ilvl w:val="1"/>
          <w:numId w:val="14"/>
        </w:numPr>
      </w:pPr>
      <w:r w:rsidRPr="00CE1661">
        <w:rPr>
          <w:b/>
        </w:rPr>
        <w:t>Participants:</w:t>
      </w:r>
      <w:r>
        <w:t xml:space="preserve"> PIs from RCC, PIs from Projects, NIH Program officers/scientists</w:t>
      </w:r>
    </w:p>
    <w:p w:rsidR="008B6BA7" w:rsidRPr="00CE1661" w:rsidRDefault="008B6BA7" w:rsidP="008B6BA7">
      <w:pPr>
        <w:pStyle w:val="ListParagraph"/>
        <w:numPr>
          <w:ilvl w:val="1"/>
          <w:numId w:val="14"/>
        </w:numPr>
        <w:rPr>
          <w:b/>
        </w:rPr>
      </w:pPr>
      <w:r w:rsidRPr="00CE1661">
        <w:rPr>
          <w:b/>
        </w:rPr>
        <w:t>Potential topics</w:t>
      </w:r>
    </w:p>
    <w:p w:rsidR="008B6BA7" w:rsidRDefault="008B6BA7" w:rsidP="008B6BA7">
      <w:pPr>
        <w:pStyle w:val="ListParagraph"/>
        <w:numPr>
          <w:ilvl w:val="2"/>
          <w:numId w:val="14"/>
        </w:numPr>
      </w:pPr>
      <w:r>
        <w:t>2 updates from the PI’s - rotate through so only present every 3 months or so</w:t>
      </w:r>
    </w:p>
    <w:p w:rsidR="008B6BA7" w:rsidRDefault="008B6BA7" w:rsidP="008B6BA7">
      <w:pPr>
        <w:pStyle w:val="ListParagraph"/>
        <w:numPr>
          <w:ilvl w:val="3"/>
          <w:numId w:val="14"/>
        </w:numPr>
      </w:pPr>
      <w:r>
        <w:t>Issues struggling with in the project</w:t>
      </w:r>
    </w:p>
    <w:p w:rsidR="008B6BA7" w:rsidRDefault="008B6BA7" w:rsidP="008B6BA7">
      <w:pPr>
        <w:pStyle w:val="ListParagraph"/>
        <w:numPr>
          <w:ilvl w:val="3"/>
          <w:numId w:val="14"/>
        </w:numPr>
      </w:pPr>
      <w:r>
        <w:t>Issues recently solved</w:t>
      </w:r>
    </w:p>
    <w:p w:rsidR="008B6BA7" w:rsidRDefault="008B6BA7" w:rsidP="008B6BA7">
      <w:pPr>
        <w:pStyle w:val="ListParagraph"/>
        <w:numPr>
          <w:ilvl w:val="3"/>
          <w:numId w:val="14"/>
        </w:numPr>
      </w:pPr>
      <w:r>
        <w:t>Identification of network resources that might support project needs (cross-site consultations, collaborations, etc.)</w:t>
      </w:r>
    </w:p>
    <w:p w:rsidR="008B6BA7" w:rsidRDefault="008B6BA7" w:rsidP="008B6BA7">
      <w:pPr>
        <w:pStyle w:val="ListParagraph"/>
        <w:numPr>
          <w:ilvl w:val="2"/>
          <w:numId w:val="14"/>
        </w:numPr>
      </w:pPr>
      <w:r>
        <w:t>Reports on cross project collaborations</w:t>
      </w:r>
    </w:p>
    <w:p w:rsidR="008B6BA7" w:rsidRDefault="008B6BA7" w:rsidP="008B6BA7">
      <w:pPr>
        <w:pStyle w:val="ListParagraph"/>
        <w:numPr>
          <w:ilvl w:val="2"/>
          <w:numId w:val="14"/>
        </w:numPr>
      </w:pPr>
      <w:r>
        <w:t>Summaries of systematic reviews from RCC</w:t>
      </w:r>
    </w:p>
    <w:p w:rsidR="008B6BA7" w:rsidRDefault="008B6BA7" w:rsidP="008B6BA7">
      <w:pPr>
        <w:pStyle w:val="ListParagraph"/>
        <w:numPr>
          <w:ilvl w:val="2"/>
          <w:numId w:val="14"/>
        </w:numPr>
      </w:pPr>
      <w:r>
        <w:t xml:space="preserve">Discussion with RCC about issues/challenges, needs related to Data Sharing, Open Science </w:t>
      </w:r>
    </w:p>
    <w:p w:rsidR="008B6BA7" w:rsidRDefault="008B6BA7" w:rsidP="008B6BA7">
      <w:pPr>
        <w:pStyle w:val="ListParagraph"/>
        <w:numPr>
          <w:ilvl w:val="2"/>
          <w:numId w:val="14"/>
        </w:numPr>
      </w:pPr>
      <w:r>
        <w:t>Upcoming deadlines for conferences – planning joint SOBC presentations</w:t>
      </w:r>
    </w:p>
    <w:p w:rsidR="008B6BA7" w:rsidRDefault="008B6BA7" w:rsidP="008B6BA7">
      <w:pPr>
        <w:pStyle w:val="ListParagraph"/>
        <w:numPr>
          <w:ilvl w:val="2"/>
          <w:numId w:val="14"/>
        </w:numPr>
      </w:pPr>
      <w:r>
        <w:t>Identify new needs, share new resources, build an identity for the group</w:t>
      </w:r>
    </w:p>
    <w:p w:rsidR="008B6BA7" w:rsidRDefault="008B6BA7" w:rsidP="008B6BA7">
      <w:pPr>
        <w:pStyle w:val="ListParagraph"/>
      </w:pPr>
    </w:p>
    <w:p w:rsidR="008B6BA7" w:rsidRDefault="008B6BA7" w:rsidP="008B6BA7">
      <w:pPr>
        <w:pStyle w:val="ListParagraph"/>
      </w:pPr>
    </w:p>
    <w:p w:rsidR="00CE1661" w:rsidRDefault="00CE1661" w:rsidP="00CE1661">
      <w:pPr>
        <w:pStyle w:val="ListParagraph"/>
      </w:pPr>
    </w:p>
    <w:p w:rsidR="00CE1661" w:rsidRDefault="00CE1661" w:rsidP="00CE1661">
      <w:pPr>
        <w:pStyle w:val="ListParagraph"/>
      </w:pPr>
    </w:p>
    <w:p w:rsidR="008B6BA7" w:rsidRDefault="008B6BA7" w:rsidP="00CE1661">
      <w:pPr>
        <w:pStyle w:val="ListParagraph"/>
        <w:numPr>
          <w:ilvl w:val="0"/>
          <w:numId w:val="14"/>
        </w:numPr>
      </w:pPr>
      <w:r w:rsidRPr="00CE1661">
        <w:rPr>
          <w:b/>
          <w:i/>
        </w:rPr>
        <w:t xml:space="preserve">Bimonthly Grand Rounds Call </w:t>
      </w:r>
      <w:r w:rsidR="00CE1661">
        <w:rPr>
          <w:b/>
          <w:i/>
        </w:rPr>
        <w:t>(</w:t>
      </w:r>
      <w:r w:rsidRPr="00CE1661">
        <w:rPr>
          <w:b/>
          <w:i/>
        </w:rPr>
        <w:t>60 minutes</w:t>
      </w:r>
      <w:r w:rsidR="00CE1661">
        <w:rPr>
          <w:b/>
          <w:i/>
        </w:rPr>
        <w:t>)</w:t>
      </w:r>
      <w:r w:rsidR="00CE1661">
        <w:rPr>
          <w:b/>
        </w:rPr>
        <w:t xml:space="preserve"> - </w:t>
      </w:r>
      <w:r>
        <w:t>A series of 30 minute presentations followed by 30 minutes discussion. May spin off the need for cross-cutting workgroups</w:t>
      </w:r>
    </w:p>
    <w:p w:rsidR="008B6BA7" w:rsidRDefault="00CE1661" w:rsidP="008B6BA7">
      <w:pPr>
        <w:pStyle w:val="ListParagraph"/>
        <w:numPr>
          <w:ilvl w:val="1"/>
          <w:numId w:val="14"/>
        </w:numPr>
      </w:pPr>
      <w:r w:rsidRPr="00CE1661">
        <w:rPr>
          <w:b/>
        </w:rPr>
        <w:t>Participants:</w:t>
      </w:r>
      <w:r>
        <w:t xml:space="preserve"> </w:t>
      </w:r>
      <w:r w:rsidR="008B6BA7">
        <w:t xml:space="preserve"> SOBC RCC investigators/staff; SOBC project PIs, Investigators, Staff; NIH SOBC program officers and scientists; later can expand to others interested in the field</w:t>
      </w:r>
    </w:p>
    <w:p w:rsidR="008B6BA7" w:rsidRPr="00CE1661" w:rsidRDefault="008B6BA7" w:rsidP="008B6BA7">
      <w:pPr>
        <w:pStyle w:val="ListParagraph"/>
        <w:numPr>
          <w:ilvl w:val="1"/>
          <w:numId w:val="14"/>
        </w:numPr>
        <w:rPr>
          <w:b/>
        </w:rPr>
      </w:pPr>
      <w:r w:rsidRPr="00CE1661">
        <w:rPr>
          <w:b/>
        </w:rPr>
        <w:t>Potential Topics</w:t>
      </w:r>
    </w:p>
    <w:p w:rsidR="008B6BA7" w:rsidRDefault="008B6BA7" w:rsidP="008B6BA7">
      <w:pPr>
        <w:pStyle w:val="ListParagraph"/>
        <w:numPr>
          <w:ilvl w:val="2"/>
          <w:numId w:val="14"/>
        </w:numPr>
      </w:pPr>
      <w:r>
        <w:t>How do you select a target assay to measure a mechanism (e.g. self-regulation, stress resilience, etc) of behavior change?</w:t>
      </w:r>
    </w:p>
    <w:p w:rsidR="008B6BA7" w:rsidRDefault="008B6BA7" w:rsidP="008B6BA7">
      <w:pPr>
        <w:pStyle w:val="ListParagraph"/>
        <w:numPr>
          <w:ilvl w:val="3"/>
          <w:numId w:val="14"/>
        </w:numPr>
      </w:pPr>
      <w:r>
        <w:t>1-2 PIs present how they do this for a different domain (10 min each)</w:t>
      </w:r>
    </w:p>
    <w:p w:rsidR="008B6BA7" w:rsidRDefault="008B6BA7" w:rsidP="008B6BA7">
      <w:pPr>
        <w:pStyle w:val="ListParagraph"/>
        <w:numPr>
          <w:ilvl w:val="3"/>
          <w:numId w:val="14"/>
        </w:numPr>
      </w:pPr>
      <w:r>
        <w:t>RCC present what literature guidelines, resources, and links are  available to assist investigators address this issue (10 min)</w:t>
      </w:r>
    </w:p>
    <w:p w:rsidR="008B6BA7" w:rsidRDefault="008B6BA7" w:rsidP="008B6BA7">
      <w:pPr>
        <w:pStyle w:val="ListParagraph"/>
        <w:numPr>
          <w:ilvl w:val="3"/>
          <w:numId w:val="14"/>
        </w:numPr>
      </w:pPr>
      <w:r>
        <w:t>Discussion – what other guidelines or resources are available? What is missing? What additional guidelines and resources would be useful? (30 Min)</w:t>
      </w:r>
    </w:p>
    <w:p w:rsidR="008B6BA7" w:rsidRDefault="008B6BA7" w:rsidP="008B6BA7">
      <w:pPr>
        <w:pStyle w:val="ListParagraph"/>
        <w:numPr>
          <w:ilvl w:val="2"/>
          <w:numId w:val="14"/>
        </w:numPr>
      </w:pPr>
      <w:r>
        <w:t>Other topics that could follow a similar format:</w:t>
      </w:r>
    </w:p>
    <w:p w:rsidR="008B6BA7" w:rsidRDefault="008B6BA7" w:rsidP="008B6BA7">
      <w:pPr>
        <w:pStyle w:val="ListParagraph"/>
        <w:numPr>
          <w:ilvl w:val="3"/>
          <w:numId w:val="14"/>
        </w:numPr>
      </w:pPr>
      <w:r>
        <w:t>How do you assess validity of the target assay/task? Is context or population important for the measure?</w:t>
      </w:r>
    </w:p>
    <w:p w:rsidR="008B6BA7" w:rsidRDefault="008B6BA7" w:rsidP="008B6BA7">
      <w:pPr>
        <w:pStyle w:val="ListParagraph"/>
        <w:numPr>
          <w:ilvl w:val="3"/>
          <w:numId w:val="14"/>
        </w:numPr>
      </w:pPr>
      <w:r>
        <w:t>How do you efficiently test if change in the assay predicts change in behavior? Does it apply to a single behavior or multiple behaviors?</w:t>
      </w:r>
    </w:p>
    <w:p w:rsidR="008B6BA7" w:rsidRDefault="008B6BA7" w:rsidP="008B6BA7">
      <w:pPr>
        <w:pStyle w:val="ListParagraph"/>
        <w:numPr>
          <w:ilvl w:val="3"/>
          <w:numId w:val="14"/>
        </w:numPr>
      </w:pPr>
      <w:r>
        <w:t>How do you develop a new measure/task of a proposed mechanism?</w:t>
      </w:r>
    </w:p>
    <w:p w:rsidR="008B6BA7" w:rsidRDefault="008B6BA7" w:rsidP="008B6BA7">
      <w:pPr>
        <w:pStyle w:val="ListParagraph"/>
        <w:numPr>
          <w:ilvl w:val="3"/>
          <w:numId w:val="14"/>
        </w:numPr>
      </w:pPr>
      <w:r>
        <w:t>How do you mentor new investigators in this field who want to study the mechanisms of behavior change?</w:t>
      </w:r>
    </w:p>
    <w:p w:rsidR="008B6BA7" w:rsidRDefault="008B6BA7" w:rsidP="008B6BA7">
      <w:pPr>
        <w:pStyle w:val="ListParagraph"/>
        <w:numPr>
          <w:ilvl w:val="2"/>
          <w:numId w:val="14"/>
        </w:numPr>
      </w:pPr>
      <w:r>
        <w:t>Updates from each of the projects 1-2 times per year</w:t>
      </w:r>
    </w:p>
    <w:p w:rsidR="008B6BA7" w:rsidRDefault="008B6BA7" w:rsidP="008B6BA7">
      <w:pPr>
        <w:pStyle w:val="ListParagraph"/>
        <w:numPr>
          <w:ilvl w:val="2"/>
          <w:numId w:val="14"/>
        </w:numPr>
      </w:pPr>
      <w:r>
        <w:t>Experts from other parts of the field (open science, NIH clinical trial definition presentation, etc)</w:t>
      </w:r>
    </w:p>
    <w:p w:rsidR="001E7A21" w:rsidRDefault="001E7A21" w:rsidP="001E7A21">
      <w:pPr>
        <w:pStyle w:val="ListParagraph"/>
      </w:pPr>
    </w:p>
    <w:p w:rsidR="001E7A21" w:rsidRDefault="001E7A21" w:rsidP="001E7A21">
      <w:pPr>
        <w:pStyle w:val="ListParagraph"/>
      </w:pPr>
    </w:p>
    <w:p w:rsidR="00560A8E" w:rsidRPr="00821D75" w:rsidRDefault="00821D75" w:rsidP="00821D75">
      <w:pPr>
        <w:pStyle w:val="ListParagraph"/>
        <w:numPr>
          <w:ilvl w:val="0"/>
          <w:numId w:val="14"/>
        </w:numPr>
        <w:rPr>
          <w:b/>
          <w:i/>
        </w:rPr>
      </w:pPr>
      <w:r>
        <w:rPr>
          <w:b/>
          <w:i/>
        </w:rPr>
        <w:t>Measures Chart</w:t>
      </w:r>
    </w:p>
    <w:p w:rsidR="001E7A21" w:rsidRPr="001E7A21" w:rsidRDefault="001E7A21" w:rsidP="001E7A21"/>
    <w:tbl>
      <w:tblPr>
        <w:tblStyle w:val="TableGrid1"/>
        <w:tblW w:w="9666" w:type="dxa"/>
        <w:tblLook w:val="04A0" w:firstRow="1" w:lastRow="0" w:firstColumn="1" w:lastColumn="0" w:noHBand="0" w:noVBand="1"/>
      </w:tblPr>
      <w:tblGrid>
        <w:gridCol w:w="2268"/>
        <w:gridCol w:w="1890"/>
        <w:gridCol w:w="1360"/>
        <w:gridCol w:w="2420"/>
        <w:gridCol w:w="1884"/>
      </w:tblGrid>
      <w:tr w:rsidR="001E7A21" w:rsidRPr="001E7A21" w:rsidTr="00615FF3">
        <w:trPr>
          <w:trHeight w:val="465"/>
        </w:trPr>
        <w:tc>
          <w:tcPr>
            <w:tcW w:w="2268" w:type="dxa"/>
            <w:tcBorders>
              <w:bottom w:val="single" w:sz="4" w:space="0" w:color="auto"/>
            </w:tcBorders>
            <w:noWrap/>
            <w:hideMark/>
          </w:tcPr>
          <w:p w:rsidR="001E7A21" w:rsidRPr="001E7A21" w:rsidRDefault="001E7A21" w:rsidP="001E7A21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Project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noWrap/>
            <w:hideMark/>
          </w:tcPr>
          <w:p w:rsidR="001E7A21" w:rsidRPr="001E7A21" w:rsidRDefault="001E7A21" w:rsidP="001E7A21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Domain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noWrap/>
            <w:hideMark/>
          </w:tcPr>
          <w:p w:rsidR="001E7A21" w:rsidRPr="001E7A21" w:rsidRDefault="001E7A21" w:rsidP="001E7A21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Sub Domain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noWrap/>
            <w:hideMark/>
          </w:tcPr>
          <w:p w:rsidR="001E7A21" w:rsidRPr="001E7A21" w:rsidRDefault="001E7A21" w:rsidP="001E7A21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Assessment Measures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noWrap/>
            <w:hideMark/>
          </w:tcPr>
          <w:p w:rsidR="001E7A21" w:rsidRPr="001E7A21" w:rsidRDefault="001E7A21" w:rsidP="001E7A21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Citation</w:t>
            </w:r>
          </w:p>
        </w:tc>
      </w:tr>
      <w:tr w:rsidR="001E7A21" w:rsidRPr="001E7A21" w:rsidTr="00615FF3">
        <w:trPr>
          <w:trHeight w:val="226"/>
        </w:trPr>
        <w:tc>
          <w:tcPr>
            <w:tcW w:w="2268" w:type="dxa"/>
            <w:vMerge w:val="restart"/>
            <w:shd w:val="clear" w:color="auto" w:fill="F79646" w:themeFill="accent6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b/>
                <w:color w:val="000000"/>
              </w:rPr>
              <w:t>Delay Discounting as a target for self-regulation in prediabetes</w:t>
            </w:r>
          </w:p>
        </w:tc>
        <w:tc>
          <w:tcPr>
            <w:tcW w:w="1890" w:type="dxa"/>
            <w:vMerge w:val="restart"/>
            <w:shd w:val="clear" w:color="auto" w:fill="F79646" w:themeFill="accent6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Self-Regulation</w:t>
            </w:r>
          </w:p>
        </w:tc>
        <w:tc>
          <w:tcPr>
            <w:tcW w:w="1360" w:type="dxa"/>
            <w:vMerge w:val="restart"/>
            <w:shd w:val="clear" w:color="auto" w:fill="F79646" w:themeFill="accent6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Executive Function</w:t>
            </w:r>
          </w:p>
        </w:tc>
        <w:tc>
          <w:tcPr>
            <w:tcW w:w="2420" w:type="dxa"/>
            <w:shd w:val="clear" w:color="auto" w:fill="F79646" w:themeFill="accent6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Minute adjusting-delay procedure</w:t>
            </w:r>
          </w:p>
        </w:tc>
        <w:tc>
          <w:tcPr>
            <w:tcW w:w="1728" w:type="dxa"/>
            <w:shd w:val="clear" w:color="auto" w:fill="F79646" w:themeFill="accent6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E7A21" w:rsidRPr="001E7A21" w:rsidTr="00615FF3">
        <w:trPr>
          <w:trHeight w:val="225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79646" w:themeFill="accent6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F79646" w:themeFill="accent6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F79646" w:themeFill="accent6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79646" w:themeFill="accent6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Adjusting-amount procedure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79646" w:themeFill="accent6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251"/>
        </w:trPr>
        <w:tc>
          <w:tcPr>
            <w:tcW w:w="2268" w:type="dxa"/>
            <w:vMerge w:val="restart"/>
            <w:shd w:val="clear" w:color="auto" w:fill="8DB3E2" w:themeFill="text2" w:themeFillTint="66"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b/>
                <w:color w:val="000000"/>
              </w:rPr>
              <w:t>Mindfulness influences on self-regulation: mental and physical health implications</w:t>
            </w:r>
          </w:p>
        </w:tc>
        <w:tc>
          <w:tcPr>
            <w:tcW w:w="1890" w:type="dxa"/>
            <w:vMerge w:val="restart"/>
            <w:shd w:val="clear" w:color="auto" w:fill="8DB3E2" w:themeFill="text2" w:themeFillTint="66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Self-Regulation</w:t>
            </w:r>
          </w:p>
        </w:tc>
        <w:tc>
          <w:tcPr>
            <w:tcW w:w="1360" w:type="dxa"/>
            <w:shd w:val="clear" w:color="auto" w:fill="8DB3E2" w:themeFill="text2" w:themeFillTint="66"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Attention Control </w:t>
            </w:r>
          </w:p>
        </w:tc>
        <w:tc>
          <w:tcPr>
            <w:tcW w:w="2420" w:type="dxa"/>
            <w:shd w:val="clear" w:color="auto" w:fill="8DB3E2" w:themeFill="text2" w:themeFillTint="66"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Sustained Attention to Response Task (SART)</w:t>
            </w:r>
          </w:p>
        </w:tc>
        <w:tc>
          <w:tcPr>
            <w:tcW w:w="1728" w:type="dxa"/>
            <w:shd w:val="clear" w:color="auto" w:fill="8DB3E2" w:themeFill="text2" w:themeFillTint="66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 Robertson et al. Neuropsychologia. 1997, Molenberghs et al. Neuropsychologia. 2009</w:t>
            </w:r>
          </w:p>
        </w:tc>
      </w:tr>
      <w:tr w:rsidR="001E7A21" w:rsidRPr="001E7A21" w:rsidTr="00615FF3">
        <w:trPr>
          <w:trHeight w:val="250"/>
        </w:trPr>
        <w:tc>
          <w:tcPr>
            <w:tcW w:w="2268" w:type="dxa"/>
            <w:vMerge/>
            <w:shd w:val="clear" w:color="auto" w:fill="8DB3E2" w:themeFill="text2" w:themeFillTint="66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8DB3E2" w:themeFill="text2" w:themeFillTint="66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shd w:val="clear" w:color="auto" w:fill="8DB3E2" w:themeFill="text2" w:themeFillTint="66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Emotional Regulation </w:t>
            </w:r>
          </w:p>
        </w:tc>
        <w:tc>
          <w:tcPr>
            <w:tcW w:w="2420" w:type="dxa"/>
            <w:shd w:val="clear" w:color="auto" w:fill="8DB3E2" w:themeFill="text2" w:themeFillTint="66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Difficulties in Emotion Regulation Scale</w:t>
            </w:r>
          </w:p>
        </w:tc>
        <w:tc>
          <w:tcPr>
            <w:tcW w:w="1728" w:type="dxa"/>
            <w:shd w:val="clear" w:color="auto" w:fill="8DB3E2" w:themeFill="text2" w:themeFillTint="66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Gratz and Roemer. J Psychopathol Behav Assess. 2004</w:t>
            </w:r>
          </w:p>
        </w:tc>
      </w:tr>
      <w:tr w:rsidR="001E7A21" w:rsidRPr="001E7A21" w:rsidTr="00615FF3">
        <w:trPr>
          <w:trHeight w:val="250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Self Related Processes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Validated self-report measure of self awareness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8DB3E2" w:themeFill="text2" w:themeFillTint="66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Mehling. PLoS ONE. 2012; Bornemann et al. Frontier Psychol. 2014</w:t>
            </w:r>
          </w:p>
        </w:tc>
      </w:tr>
      <w:tr w:rsidR="001E7A21" w:rsidRPr="001E7A21" w:rsidTr="00615FF3">
        <w:trPr>
          <w:trHeight w:val="40"/>
        </w:trPr>
        <w:tc>
          <w:tcPr>
            <w:tcW w:w="2268" w:type="dxa"/>
            <w:vMerge w:val="restart"/>
            <w:shd w:val="clear" w:color="auto" w:fill="C0504D" w:themeFill="accent2"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b/>
                <w:color w:val="000000"/>
              </w:rPr>
              <w:t>Engaging self-regulation targets to understand the mechanisms of behavior change and improve mood and weight outcomes</w:t>
            </w:r>
          </w:p>
        </w:tc>
        <w:tc>
          <w:tcPr>
            <w:tcW w:w="1890" w:type="dxa"/>
            <w:vMerge w:val="restart"/>
            <w:shd w:val="clear" w:color="auto" w:fill="C0504D" w:themeFill="accent2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Self-Regulation</w:t>
            </w:r>
          </w:p>
        </w:tc>
        <w:tc>
          <w:tcPr>
            <w:tcW w:w="1360" w:type="dxa"/>
            <w:vMerge w:val="restart"/>
            <w:shd w:val="clear" w:color="auto" w:fill="C0504D" w:themeFill="accent2"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Cognitive Processes </w:t>
            </w:r>
          </w:p>
        </w:tc>
        <w:tc>
          <w:tcPr>
            <w:tcW w:w="2420" w:type="dxa"/>
            <w:shd w:val="clear" w:color="auto" w:fill="C0504D" w:themeFill="accent2"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 “Cognitive Control”  circuit reactivity and connectivity during Go-NoGo inhibition</w:t>
            </w:r>
          </w:p>
        </w:tc>
        <w:tc>
          <w:tcPr>
            <w:tcW w:w="1728" w:type="dxa"/>
            <w:shd w:val="clear" w:color="auto" w:fill="C0504D" w:themeFill="accent2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E7A21" w:rsidRPr="001E7A21" w:rsidTr="00615FF3">
        <w:trPr>
          <w:trHeight w:val="35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Heart Rate Variability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35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Errors of omission and commission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35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COPE Inventory for cognitive coping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113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Clutter Image Rating Scale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112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Performance on virtual reality cognitive control tasks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35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Mood Questionnaire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35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Passive experience sampling of cognitive functions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451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 w:val="restart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Emotional Regulation  </w:t>
            </w: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“Affective Network” reactivity and connectivity during emotion induction and regulation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451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Passive experience sampling of 288 variables, ex: mood-related word usage histograms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35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Heart Rate Variability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35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Reaction time biases in identifying emotions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35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Emotion Regulation Questionnaire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35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Early Life Stress Questionnaire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35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Head movements</w:t>
            </w:r>
          </w:p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during emotion induction and regulation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35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Mood Questionnaire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45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 w:val="restart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Self Related Processes</w:t>
            </w: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“Default Mode Network” reactivity and connectivity during self-reflection when the brain is at rest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41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Heart Rate Variability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41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BRISC questionnaire of emotional resilience and </w:t>
            </w:r>
            <w:r w:rsidRPr="001E7A21">
              <w:rPr>
                <w:rFonts w:ascii="Calibri" w:eastAsia="Times New Roman" w:hAnsi="Calibri" w:cs="Times New Roman"/>
                <w:color w:val="000000"/>
              </w:rPr>
              <w:lastRenderedPageBreak/>
              <w:t>self-efficacy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41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Head movements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41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Mood Questionnaire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41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Passive experience sampling of the GPS for resting periods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60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00"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b/>
                <w:color w:val="000000"/>
              </w:rPr>
              <w:t>Applying novel technologies and methods to inform the ontology of self- regulation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00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Self-Regulation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FFFF00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FF00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Cognitive Atlas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00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E7A21" w:rsidRPr="001E7A21" w:rsidTr="00615FF3">
        <w:trPr>
          <w:trHeight w:val="113"/>
        </w:trPr>
        <w:tc>
          <w:tcPr>
            <w:tcW w:w="2268" w:type="dxa"/>
            <w:vMerge w:val="restart"/>
            <w:shd w:val="clear" w:color="auto" w:fill="9BBB59" w:themeFill="accent3"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b/>
                <w:color w:val="000000"/>
              </w:rPr>
              <w:t>Targeting self-regulation to promote adherence and health behaviors in children</w:t>
            </w:r>
          </w:p>
        </w:tc>
        <w:tc>
          <w:tcPr>
            <w:tcW w:w="1890" w:type="dxa"/>
            <w:vMerge w:val="restart"/>
            <w:shd w:val="clear" w:color="auto" w:fill="9BBB59" w:themeFill="accent3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Self-Regulation</w:t>
            </w:r>
          </w:p>
        </w:tc>
        <w:tc>
          <w:tcPr>
            <w:tcW w:w="1360" w:type="dxa"/>
            <w:vMerge w:val="restart"/>
            <w:shd w:val="clear" w:color="auto" w:fill="9BBB59" w:themeFill="accent3"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Future Orientation </w:t>
            </w:r>
          </w:p>
        </w:tc>
        <w:tc>
          <w:tcPr>
            <w:tcW w:w="2420" w:type="dxa"/>
            <w:shd w:val="clear" w:color="auto" w:fill="9BBB59" w:themeFill="accent3"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Zimbardo Time Perspective Scale</w:t>
            </w:r>
          </w:p>
        </w:tc>
        <w:tc>
          <w:tcPr>
            <w:tcW w:w="1728" w:type="dxa"/>
            <w:shd w:val="clear" w:color="auto" w:fill="9BBB59" w:themeFill="accent3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E7A21" w:rsidRPr="001E7A21" w:rsidTr="00615FF3">
        <w:trPr>
          <w:trHeight w:val="112"/>
        </w:trPr>
        <w:tc>
          <w:tcPr>
            <w:tcW w:w="2268" w:type="dxa"/>
            <w:vMerge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Delay choice Questionnaire</w:t>
            </w:r>
          </w:p>
        </w:tc>
        <w:tc>
          <w:tcPr>
            <w:tcW w:w="1728" w:type="dxa"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Bickel &amp; Epstein</w:t>
            </w:r>
          </w:p>
        </w:tc>
      </w:tr>
      <w:tr w:rsidR="001E7A21" w:rsidRPr="001E7A21" w:rsidTr="00615FF3">
        <w:trPr>
          <w:trHeight w:val="113"/>
        </w:trPr>
        <w:tc>
          <w:tcPr>
            <w:tcW w:w="2268" w:type="dxa"/>
            <w:vMerge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 w:val="restart"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Emotional Regulation   </w:t>
            </w:r>
          </w:p>
        </w:tc>
        <w:tc>
          <w:tcPr>
            <w:tcW w:w="2420" w:type="dxa"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Self-reported affect dysregulation (SIDES)</w:t>
            </w:r>
          </w:p>
        </w:tc>
        <w:tc>
          <w:tcPr>
            <w:tcW w:w="1728" w:type="dxa"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Brown et al.</w:t>
            </w:r>
          </w:p>
        </w:tc>
      </w:tr>
      <w:tr w:rsidR="001E7A21" w:rsidRPr="001E7A21" w:rsidTr="00615FF3">
        <w:trPr>
          <w:trHeight w:val="112"/>
        </w:trPr>
        <w:tc>
          <w:tcPr>
            <w:tcW w:w="2268" w:type="dxa"/>
            <w:vMerge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Self-reported emotion self-efficacy (NIH Toolbox)</w:t>
            </w:r>
          </w:p>
        </w:tc>
        <w:tc>
          <w:tcPr>
            <w:tcW w:w="1728" w:type="dxa"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75"/>
        </w:trPr>
        <w:tc>
          <w:tcPr>
            <w:tcW w:w="2268" w:type="dxa"/>
            <w:vMerge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 w:val="restart"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Executive Function</w:t>
            </w:r>
          </w:p>
        </w:tc>
        <w:tc>
          <w:tcPr>
            <w:tcW w:w="2420" w:type="dxa"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Go-No-Go task (Zoo task) and Digit Span tasks</w:t>
            </w:r>
          </w:p>
        </w:tc>
        <w:tc>
          <w:tcPr>
            <w:tcW w:w="1728" w:type="dxa"/>
            <w:vMerge w:val="restart"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75"/>
        </w:trPr>
        <w:tc>
          <w:tcPr>
            <w:tcW w:w="2268" w:type="dxa"/>
            <w:vMerge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NIH Flanker task </w:t>
            </w:r>
          </w:p>
        </w:tc>
        <w:tc>
          <w:tcPr>
            <w:tcW w:w="1728" w:type="dxa"/>
            <w:vMerge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75"/>
        </w:trPr>
        <w:tc>
          <w:tcPr>
            <w:tcW w:w="2268" w:type="dxa"/>
            <w:vMerge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BRIEF parent-report questionnaire</w:t>
            </w:r>
          </w:p>
        </w:tc>
        <w:tc>
          <w:tcPr>
            <w:tcW w:w="1728" w:type="dxa"/>
            <w:vMerge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113"/>
        </w:trPr>
        <w:tc>
          <w:tcPr>
            <w:tcW w:w="2268" w:type="dxa"/>
            <w:vMerge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 w:val="restart"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Food Bias</w:t>
            </w:r>
          </w:p>
        </w:tc>
        <w:tc>
          <w:tcPr>
            <w:tcW w:w="2420" w:type="dxa"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Implicit Association Test (IAT; Single Category):  Go-Chocolate vs. Stop-Chocolate</w:t>
            </w:r>
          </w:p>
        </w:tc>
        <w:tc>
          <w:tcPr>
            <w:tcW w:w="1728" w:type="dxa"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Houben; Gonzales</w:t>
            </w:r>
          </w:p>
        </w:tc>
      </w:tr>
      <w:tr w:rsidR="001E7A21" w:rsidRPr="001E7A21" w:rsidTr="00615FF3">
        <w:trPr>
          <w:trHeight w:val="11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Self-reported Power of Food Scale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Lowe et al</w:t>
            </w:r>
          </w:p>
        </w:tc>
      </w:tr>
      <w:tr w:rsidR="001E7A21" w:rsidRPr="001E7A21" w:rsidTr="00615FF3">
        <w:trPr>
          <w:trHeight w:val="226"/>
        </w:trPr>
        <w:tc>
          <w:tcPr>
            <w:tcW w:w="2268" w:type="dxa"/>
            <w:vMerge w:val="restart"/>
            <w:shd w:val="clear" w:color="auto" w:fill="B2A1C7" w:themeFill="accent4" w:themeFillTint="99"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b/>
                <w:color w:val="000000"/>
              </w:rPr>
              <w:t>Everyday stress response targets in the science of behavior change</w:t>
            </w:r>
          </w:p>
        </w:tc>
        <w:tc>
          <w:tcPr>
            <w:tcW w:w="1890" w:type="dxa"/>
            <w:vMerge w:val="restart"/>
            <w:shd w:val="clear" w:color="auto" w:fill="B2A1C7" w:themeFill="accent4" w:themeFillTint="99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Stress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B2A1C7" w:themeFill="accent4" w:themeFillTint="99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 Reactivity</w:t>
            </w:r>
          </w:p>
        </w:tc>
        <w:tc>
          <w:tcPr>
            <w:tcW w:w="2420" w:type="dxa"/>
            <w:vMerge w:val="restart"/>
            <w:shd w:val="clear" w:color="auto" w:fill="B2A1C7" w:themeFill="accent4" w:themeFillTint="99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 EMA and EOD diary methods</w:t>
            </w:r>
          </w:p>
        </w:tc>
        <w:tc>
          <w:tcPr>
            <w:tcW w:w="1728" w:type="dxa"/>
            <w:vMerge w:val="restart"/>
            <w:shd w:val="clear" w:color="auto" w:fill="B2A1C7" w:themeFill="accent4" w:themeFillTint="99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E7A21" w:rsidRPr="001E7A21" w:rsidTr="00615FF3">
        <w:trPr>
          <w:trHeight w:val="225"/>
        </w:trPr>
        <w:tc>
          <w:tcPr>
            <w:tcW w:w="2268" w:type="dxa"/>
            <w:vMerge/>
            <w:shd w:val="clear" w:color="auto" w:fill="B2A1C7" w:themeFill="accent4" w:themeFillTint="99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B2A1C7" w:themeFill="accent4" w:themeFillTint="99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B2A1C7" w:themeFill="accent4" w:themeFillTint="99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Recovery</w:t>
            </w:r>
          </w:p>
        </w:tc>
        <w:tc>
          <w:tcPr>
            <w:tcW w:w="2420" w:type="dxa"/>
            <w:vMerge/>
            <w:shd w:val="clear" w:color="auto" w:fill="B2A1C7" w:themeFill="accent4" w:themeFillTint="99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8" w:type="dxa"/>
            <w:vMerge/>
            <w:shd w:val="clear" w:color="auto" w:fill="B2A1C7" w:themeFill="accent4" w:themeFillTint="99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225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B2A1C7" w:themeFill="accent4" w:themeFillTint="99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B2A1C7" w:themeFill="accent4" w:themeFillTint="99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Pileup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B2A1C7" w:themeFill="accent4" w:themeFillTint="99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B2A1C7" w:themeFill="accent4" w:themeFillTint="99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151"/>
        </w:trPr>
        <w:tc>
          <w:tcPr>
            <w:tcW w:w="2268" w:type="dxa"/>
            <w:vMerge w:val="restart"/>
            <w:shd w:val="clear" w:color="auto" w:fill="FF0000"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b/>
                <w:color w:val="000000"/>
              </w:rPr>
              <w:t>How does stress affect health behaviors: preferences, beliefs or constraints?</w:t>
            </w:r>
          </w:p>
        </w:tc>
        <w:tc>
          <w:tcPr>
            <w:tcW w:w="1890" w:type="dxa"/>
            <w:vMerge w:val="restart"/>
            <w:shd w:val="clear" w:color="auto" w:fill="FF0000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Stress</w:t>
            </w:r>
          </w:p>
        </w:tc>
        <w:tc>
          <w:tcPr>
            <w:tcW w:w="1360" w:type="dxa"/>
            <w:vMerge w:val="restart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Temporal Discounting</w:t>
            </w:r>
          </w:p>
        </w:tc>
        <w:tc>
          <w:tcPr>
            <w:tcW w:w="2420" w:type="dxa"/>
            <w:shd w:val="clear" w:color="auto" w:fill="FF0000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convex time budgets</w:t>
            </w:r>
          </w:p>
        </w:tc>
        <w:tc>
          <w:tcPr>
            <w:tcW w:w="1728" w:type="dxa"/>
            <w:shd w:val="clear" w:color="auto" w:fill="FF0000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 Andreoni &amp; Sprenger, 2012</w:t>
            </w:r>
          </w:p>
        </w:tc>
      </w:tr>
      <w:tr w:rsidR="001E7A21" w:rsidRPr="001E7A21" w:rsidTr="00615FF3">
        <w:trPr>
          <w:trHeight w:val="150"/>
        </w:trPr>
        <w:tc>
          <w:tcPr>
            <w:tcW w:w="2268" w:type="dxa"/>
            <w:vMerge/>
            <w:shd w:val="clear" w:color="auto" w:fill="FF0000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Consideration of future consequences scale</w:t>
            </w:r>
          </w:p>
        </w:tc>
        <w:tc>
          <w:tcPr>
            <w:tcW w:w="1728" w:type="dxa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Strathman et al., 1994</w:t>
            </w:r>
          </w:p>
        </w:tc>
      </w:tr>
      <w:tr w:rsidR="001E7A21" w:rsidRPr="001E7A21" w:rsidTr="00615FF3">
        <w:trPr>
          <w:trHeight w:val="150"/>
        </w:trPr>
        <w:tc>
          <w:tcPr>
            <w:tcW w:w="2268" w:type="dxa"/>
            <w:vMerge/>
            <w:shd w:val="clear" w:color="auto" w:fill="FF0000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Deferment of gratification scale </w:t>
            </w:r>
          </w:p>
        </w:tc>
        <w:tc>
          <w:tcPr>
            <w:tcW w:w="1728" w:type="dxa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Ray &amp; Najman, 1986</w:t>
            </w:r>
          </w:p>
        </w:tc>
      </w:tr>
      <w:tr w:rsidR="001E7A21" w:rsidRPr="001E7A21" w:rsidTr="00615FF3">
        <w:trPr>
          <w:trHeight w:val="672"/>
        </w:trPr>
        <w:tc>
          <w:tcPr>
            <w:tcW w:w="2268" w:type="dxa"/>
            <w:vMerge/>
            <w:shd w:val="clear" w:color="auto" w:fill="FF0000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 w:val="restart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Self-Efficacy</w:t>
            </w:r>
          </w:p>
        </w:tc>
        <w:tc>
          <w:tcPr>
            <w:tcW w:w="2420" w:type="dxa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Under development</w:t>
            </w:r>
          </w:p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Problem with existing learned helplessness tasks: confounded by a) learning (true) lack of control over outcomes and b) differential exposure to stressful stimuli </w:t>
            </w:r>
          </w:p>
        </w:tc>
        <w:tc>
          <w:tcPr>
            <w:tcW w:w="1728" w:type="dxa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e.g. Hiroto, 1974</w:t>
            </w:r>
          </w:p>
        </w:tc>
      </w:tr>
      <w:tr w:rsidR="001E7A21" w:rsidRPr="001E7A21" w:rsidTr="00615FF3">
        <w:trPr>
          <w:trHeight w:val="672"/>
        </w:trPr>
        <w:tc>
          <w:tcPr>
            <w:tcW w:w="2268" w:type="dxa"/>
            <w:vMerge/>
            <w:shd w:val="clear" w:color="auto" w:fill="FF0000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Generalized self-efficacy scale </w:t>
            </w:r>
          </w:p>
        </w:tc>
        <w:tc>
          <w:tcPr>
            <w:tcW w:w="1728" w:type="dxa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Schwarzer &amp; Jerusalem, 1995</w:t>
            </w:r>
          </w:p>
        </w:tc>
      </w:tr>
      <w:tr w:rsidR="001E7A21" w:rsidRPr="001E7A21" w:rsidTr="00615FF3">
        <w:trPr>
          <w:trHeight w:val="672"/>
        </w:trPr>
        <w:tc>
          <w:tcPr>
            <w:tcW w:w="2268" w:type="dxa"/>
            <w:vMerge/>
            <w:shd w:val="clear" w:color="auto" w:fill="FF0000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Pearlin Mastery Scale </w:t>
            </w:r>
          </w:p>
        </w:tc>
        <w:tc>
          <w:tcPr>
            <w:tcW w:w="1728" w:type="dxa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Pearlin &amp; Schooler, 1978</w:t>
            </w:r>
          </w:p>
        </w:tc>
      </w:tr>
      <w:tr w:rsidR="001E7A21" w:rsidRPr="001E7A21" w:rsidTr="00615FF3">
        <w:trPr>
          <w:trHeight w:val="151"/>
        </w:trPr>
        <w:tc>
          <w:tcPr>
            <w:tcW w:w="2268" w:type="dxa"/>
            <w:vMerge/>
            <w:shd w:val="clear" w:color="auto" w:fill="FF0000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 w:val="restart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Executive Control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Tower of London </w:t>
            </w:r>
          </w:p>
        </w:tc>
        <w:tc>
          <w:tcPr>
            <w:tcW w:w="1728" w:type="dxa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Shallice, 1982</w:t>
            </w:r>
          </w:p>
        </w:tc>
      </w:tr>
      <w:tr w:rsidR="001E7A21" w:rsidRPr="001E7A21" w:rsidTr="00615FF3">
        <w:trPr>
          <w:trHeight w:val="150"/>
        </w:trPr>
        <w:tc>
          <w:tcPr>
            <w:tcW w:w="2268" w:type="dxa"/>
            <w:vMerge/>
            <w:shd w:val="clear" w:color="auto" w:fill="FF0000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Stroop task adapted for illiterate population (arrows)</w:t>
            </w:r>
          </w:p>
        </w:tc>
        <w:tc>
          <w:tcPr>
            <w:tcW w:w="1728" w:type="dxa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Stroop, 1935</w:t>
            </w:r>
          </w:p>
        </w:tc>
      </w:tr>
      <w:tr w:rsidR="001E7A21" w:rsidRPr="001E7A21" w:rsidTr="00615FF3">
        <w:trPr>
          <w:trHeight w:val="150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Behavior Rating Inventory of Executive Function 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Gioia et al., 2000</w:t>
            </w:r>
          </w:p>
        </w:tc>
      </w:tr>
      <w:tr w:rsidR="001E7A21" w:rsidRPr="001E7A21" w:rsidTr="00615FF3">
        <w:trPr>
          <w:trHeight w:val="377"/>
        </w:trPr>
        <w:tc>
          <w:tcPr>
            <w:tcW w:w="2268" w:type="dxa"/>
            <w:vMerge w:val="restart"/>
            <w:shd w:val="clear" w:color="auto" w:fill="BFBFBF" w:themeFill="background1" w:themeFillShade="BF"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b/>
                <w:color w:val="000000"/>
              </w:rPr>
              <w:t>Targeting corrosive couple conflict and parent-child coercion to impact health behaviors and regimen adherence</w:t>
            </w:r>
          </w:p>
        </w:tc>
        <w:tc>
          <w:tcPr>
            <w:tcW w:w="1890" w:type="dxa"/>
            <w:vMerge w:val="restart"/>
            <w:shd w:val="clear" w:color="auto" w:fill="BFBFBF" w:themeFill="background1" w:themeFillShade="BF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Interpersonal Processes</w:t>
            </w:r>
          </w:p>
        </w:tc>
        <w:tc>
          <w:tcPr>
            <w:tcW w:w="1360" w:type="dxa"/>
            <w:vMerge w:val="restart"/>
            <w:shd w:val="clear" w:color="auto" w:fill="BFBFBF" w:themeFill="background1" w:themeFillShade="BF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Coercive couples conflict</w:t>
            </w:r>
          </w:p>
        </w:tc>
        <w:tc>
          <w:tcPr>
            <w:tcW w:w="2420" w:type="dxa"/>
            <w:shd w:val="clear" w:color="auto" w:fill="BFBFBF" w:themeFill="background1" w:themeFillShade="BF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 Behavior Observation</w:t>
            </w:r>
          </w:p>
        </w:tc>
        <w:tc>
          <w:tcPr>
            <w:tcW w:w="1728" w:type="dxa"/>
            <w:vMerge w:val="restart"/>
            <w:shd w:val="clear" w:color="auto" w:fill="BFBFBF" w:themeFill="background1" w:themeFillShade="BF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E7A21" w:rsidRPr="001E7A21" w:rsidTr="00615FF3">
        <w:trPr>
          <w:trHeight w:val="375"/>
        </w:trPr>
        <w:tc>
          <w:tcPr>
            <w:tcW w:w="2268" w:type="dxa"/>
            <w:vMerge/>
            <w:shd w:val="clear" w:color="auto" w:fill="BFBFBF" w:themeFill="background1" w:themeFillShade="BF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BFBFBF" w:themeFill="background1" w:themeFillShade="BF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BFBFBF" w:themeFill="background1" w:themeFillShade="BF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BFBFBF" w:themeFill="background1" w:themeFillShade="BF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Psychophysiological</w:t>
            </w:r>
          </w:p>
        </w:tc>
        <w:tc>
          <w:tcPr>
            <w:tcW w:w="1728" w:type="dxa"/>
            <w:vMerge/>
            <w:shd w:val="clear" w:color="auto" w:fill="BFBFBF" w:themeFill="background1" w:themeFillShade="BF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375"/>
        </w:trPr>
        <w:tc>
          <w:tcPr>
            <w:tcW w:w="2268" w:type="dxa"/>
            <w:vMerge/>
            <w:shd w:val="clear" w:color="auto" w:fill="BFBFBF" w:themeFill="background1" w:themeFillShade="BF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BFBFBF" w:themeFill="background1" w:themeFillShade="BF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BFBFBF" w:themeFill="background1" w:themeFillShade="BF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BFBFBF" w:themeFill="background1" w:themeFillShade="BF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Self-report</w:t>
            </w:r>
          </w:p>
        </w:tc>
        <w:tc>
          <w:tcPr>
            <w:tcW w:w="1728" w:type="dxa"/>
            <w:vMerge/>
            <w:shd w:val="clear" w:color="auto" w:fill="BFBFBF" w:themeFill="background1" w:themeFillShade="BF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E7A21" w:rsidRPr="001E7A21" w:rsidRDefault="001E7A21" w:rsidP="001E7A21"/>
    <w:p w:rsidR="00560A8E" w:rsidRPr="007D0580" w:rsidRDefault="00560A8E" w:rsidP="00560A8E">
      <w:pPr>
        <w:spacing w:after="0" w:line="240" w:lineRule="auto"/>
      </w:pPr>
    </w:p>
    <w:p w:rsidR="00560A8E" w:rsidRPr="007D0580" w:rsidRDefault="00560A8E">
      <w:pPr>
        <w:rPr>
          <w:b/>
        </w:rPr>
      </w:pPr>
    </w:p>
    <w:sectPr w:rsidR="00560A8E" w:rsidRPr="007D0580" w:rsidSect="00F66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0DE4"/>
    <w:multiLevelType w:val="hybridMultilevel"/>
    <w:tmpl w:val="6E84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446B2"/>
    <w:multiLevelType w:val="hybridMultilevel"/>
    <w:tmpl w:val="5BFE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A5DA5"/>
    <w:multiLevelType w:val="hybridMultilevel"/>
    <w:tmpl w:val="96AE0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6686A"/>
    <w:multiLevelType w:val="hybridMultilevel"/>
    <w:tmpl w:val="EB56D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F6B1D"/>
    <w:multiLevelType w:val="hybridMultilevel"/>
    <w:tmpl w:val="2DF0A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12F23"/>
    <w:multiLevelType w:val="hybridMultilevel"/>
    <w:tmpl w:val="36E2D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4C0D30"/>
    <w:multiLevelType w:val="hybridMultilevel"/>
    <w:tmpl w:val="3CEEDD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5A3B5043"/>
    <w:multiLevelType w:val="hybridMultilevel"/>
    <w:tmpl w:val="A22E3E3A"/>
    <w:lvl w:ilvl="0" w:tplc="99E2DD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401EE"/>
    <w:multiLevelType w:val="hybridMultilevel"/>
    <w:tmpl w:val="7736B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6872EC"/>
    <w:multiLevelType w:val="hybridMultilevel"/>
    <w:tmpl w:val="6E84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9E5316"/>
    <w:multiLevelType w:val="hybridMultilevel"/>
    <w:tmpl w:val="4F643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9C72AE"/>
    <w:multiLevelType w:val="hybridMultilevel"/>
    <w:tmpl w:val="A16E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B7A5B"/>
    <w:multiLevelType w:val="hybridMultilevel"/>
    <w:tmpl w:val="6E84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0F55C1"/>
    <w:multiLevelType w:val="hybridMultilevel"/>
    <w:tmpl w:val="16A4E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3"/>
  </w:num>
  <w:num w:numId="5">
    <w:abstractNumId w:val="6"/>
  </w:num>
  <w:num w:numId="6">
    <w:abstractNumId w:val="10"/>
  </w:num>
  <w:num w:numId="7">
    <w:abstractNumId w:val="13"/>
  </w:num>
  <w:num w:numId="8">
    <w:abstractNumId w:val="5"/>
  </w:num>
  <w:num w:numId="9">
    <w:abstractNumId w:val="4"/>
  </w:num>
  <w:num w:numId="10">
    <w:abstractNumId w:val="2"/>
  </w:num>
  <w:num w:numId="11">
    <w:abstractNumId w:val="0"/>
  </w:num>
  <w:num w:numId="12">
    <w:abstractNumId w:val="9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8E"/>
    <w:rsid w:val="00031A9B"/>
    <w:rsid w:val="00053817"/>
    <w:rsid w:val="00097AC0"/>
    <w:rsid w:val="001E7A21"/>
    <w:rsid w:val="00246EA5"/>
    <w:rsid w:val="003403D8"/>
    <w:rsid w:val="00444F0F"/>
    <w:rsid w:val="004553B7"/>
    <w:rsid w:val="00487D39"/>
    <w:rsid w:val="004C56AC"/>
    <w:rsid w:val="004E715E"/>
    <w:rsid w:val="00560A8E"/>
    <w:rsid w:val="0056685C"/>
    <w:rsid w:val="005D35E4"/>
    <w:rsid w:val="005D3D08"/>
    <w:rsid w:val="00614467"/>
    <w:rsid w:val="006E64F2"/>
    <w:rsid w:val="007D0580"/>
    <w:rsid w:val="007F0071"/>
    <w:rsid w:val="00821D75"/>
    <w:rsid w:val="008B6BA7"/>
    <w:rsid w:val="009349DE"/>
    <w:rsid w:val="009D1CD8"/>
    <w:rsid w:val="00AC499D"/>
    <w:rsid w:val="00B60024"/>
    <w:rsid w:val="00BD351A"/>
    <w:rsid w:val="00CC0849"/>
    <w:rsid w:val="00CE1661"/>
    <w:rsid w:val="00D55C35"/>
    <w:rsid w:val="00D56318"/>
    <w:rsid w:val="00DD02AC"/>
    <w:rsid w:val="00F66351"/>
    <w:rsid w:val="00F8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73D07-76A9-46C0-99CC-91A9FD9D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Navarrete, Stephanie</dc:creator>
  <cp:lastModifiedBy>Navarrete, Stephanie</cp:lastModifiedBy>
  <cp:revision>8</cp:revision>
  <cp:lastPrinted>2015-10-27T11:50:00Z</cp:lastPrinted>
  <dcterms:created xsi:type="dcterms:W3CDTF">2016-08-17T13:14:00Z</dcterms:created>
  <dcterms:modified xsi:type="dcterms:W3CDTF">2016-08-17T14:04:00Z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Id">
    <vt:lpwstr>http://www.zotero.org/styles/vancouver</vt:lpwstr>
  </property>
</Properties>
</file>